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D3" w:rsidRDefault="00922069">
      <w:pPr>
        <w:pStyle w:val="Kop1"/>
      </w:pPr>
      <w:r>
        <w:t>Wetstechnische informatie</w:t>
      </w:r>
    </w:p>
    <w:p w:rsidR="009F3FD3" w:rsidRDefault="009F3FD3"/>
    <w:p w:rsidR="009F3FD3" w:rsidRDefault="00922069">
      <w:pPr>
        <w:pStyle w:val="Kop3"/>
        <w:rPr>
          <w:rFonts w:cs="Arial"/>
        </w:rPr>
      </w:pPr>
      <w:r>
        <w:rPr>
          <w:rFonts w:cs="Arial"/>
        </w:rPr>
        <w:t>Gegevens van de regeling</w:t>
      </w:r>
    </w:p>
    <w:tbl>
      <w:tblPr>
        <w:tblW w:w="0" w:type="auto"/>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tblPr>
      <w:tblGrid>
        <w:gridCol w:w="3225"/>
        <w:gridCol w:w="6495"/>
      </w:tblGrid>
      <w:tr w:rsidR="009F3FD3">
        <w:tc>
          <w:tcPr>
            <w:tcW w:w="3225" w:type="dxa"/>
          </w:tcPr>
          <w:p w:rsidR="009F3FD3" w:rsidRDefault="00922069">
            <w:r>
              <w:t>Overheidsorganisatie</w:t>
            </w:r>
          </w:p>
        </w:tc>
        <w:tc>
          <w:tcPr>
            <w:tcW w:w="6495" w:type="dxa"/>
          </w:tcPr>
          <w:p w:rsidR="009F3FD3" w:rsidRDefault="00C314AB">
            <w:bookmarkStart w:id="0" w:name="bkmOverheidsorganisatieType"/>
            <w:r>
              <w:t>G</w:t>
            </w:r>
            <w:r w:rsidR="00922069">
              <w:t>emeente</w:t>
            </w:r>
            <w:bookmarkEnd w:id="0"/>
            <w:r w:rsidR="00922069">
              <w:rPr>
                <w:color w:val="FFFFFF"/>
              </w:rPr>
              <w:t>|</w:t>
            </w:r>
            <w:r w:rsidR="00922069">
              <w:t xml:space="preserve"> </w:t>
            </w:r>
            <w:bookmarkStart w:id="1" w:name="bkmOverheidsorganisatieNaam"/>
            <w:r w:rsidR="00922069">
              <w:t>Heerhugowaard</w:t>
            </w:r>
            <w:bookmarkEnd w:id="1"/>
            <w:r w:rsidR="00922069">
              <w:rPr>
                <w:color w:val="FFFFFF"/>
              </w:rPr>
              <w:t>|</w:t>
            </w:r>
          </w:p>
        </w:tc>
      </w:tr>
      <w:tr w:rsidR="009F3FD3">
        <w:tc>
          <w:tcPr>
            <w:tcW w:w="3225" w:type="dxa"/>
          </w:tcPr>
          <w:p w:rsidR="009F3FD3" w:rsidRDefault="00922069">
            <w:r>
              <w:t>Officiële naam regeling</w:t>
            </w:r>
          </w:p>
        </w:tc>
        <w:tc>
          <w:tcPr>
            <w:tcW w:w="6495" w:type="dxa"/>
          </w:tcPr>
          <w:p w:rsidR="009F3FD3" w:rsidRDefault="00C314AB" w:rsidP="00E14309">
            <w:pPr>
              <w:rPr>
                <w:color w:val="FFFFFF"/>
              </w:rPr>
            </w:pPr>
            <w:r>
              <w:t>Controleverordening gemeente Heerhugowaard 2016</w:t>
            </w:r>
          </w:p>
        </w:tc>
      </w:tr>
      <w:tr w:rsidR="009F3FD3">
        <w:tc>
          <w:tcPr>
            <w:tcW w:w="3225" w:type="dxa"/>
          </w:tcPr>
          <w:p w:rsidR="009F3FD3" w:rsidRDefault="00922069">
            <w:r>
              <w:t>Citeertitel</w:t>
            </w:r>
          </w:p>
        </w:tc>
        <w:tc>
          <w:tcPr>
            <w:tcW w:w="6495" w:type="dxa"/>
          </w:tcPr>
          <w:p w:rsidR="009F3FD3" w:rsidRDefault="00C314AB">
            <w:r>
              <w:t>Controleverordening gemeente Heerhugowaard 2016</w:t>
            </w:r>
          </w:p>
        </w:tc>
      </w:tr>
      <w:tr w:rsidR="009F3FD3">
        <w:tc>
          <w:tcPr>
            <w:tcW w:w="3225" w:type="dxa"/>
          </w:tcPr>
          <w:p w:rsidR="009F3FD3" w:rsidRDefault="00922069">
            <w:r>
              <w:t>Besloten door</w:t>
            </w:r>
          </w:p>
        </w:tc>
        <w:tc>
          <w:tcPr>
            <w:tcW w:w="6495" w:type="dxa"/>
          </w:tcPr>
          <w:p w:rsidR="009F3FD3" w:rsidRDefault="00C314AB" w:rsidP="00C314AB">
            <w:r>
              <w:t>Gemeenteraad</w:t>
            </w:r>
          </w:p>
        </w:tc>
      </w:tr>
      <w:tr w:rsidR="009F3FD3">
        <w:tc>
          <w:tcPr>
            <w:tcW w:w="3225" w:type="dxa"/>
          </w:tcPr>
          <w:p w:rsidR="009F3FD3" w:rsidRDefault="00922069">
            <w:r>
              <w:t>Deze versie is geldig tot (als de vervaldatum is vastgesteld)</w:t>
            </w:r>
          </w:p>
        </w:tc>
        <w:tc>
          <w:tcPr>
            <w:tcW w:w="6495" w:type="dxa"/>
          </w:tcPr>
          <w:p w:rsidR="009F3FD3" w:rsidRDefault="009F3FD3"/>
        </w:tc>
      </w:tr>
      <w:tr w:rsidR="009F3FD3">
        <w:tc>
          <w:tcPr>
            <w:tcW w:w="3225" w:type="dxa"/>
          </w:tcPr>
          <w:p w:rsidR="009F3FD3" w:rsidRDefault="00922069">
            <w:r>
              <w:t>Onderwerp</w:t>
            </w:r>
          </w:p>
        </w:tc>
        <w:tc>
          <w:tcPr>
            <w:tcW w:w="6495" w:type="dxa"/>
          </w:tcPr>
          <w:p w:rsidR="009F3FD3" w:rsidRDefault="00C314AB">
            <w:r>
              <w:t>Controleverordening gemeente Heerhugowaard 2016</w:t>
            </w:r>
          </w:p>
        </w:tc>
      </w:tr>
    </w:tbl>
    <w:p w:rsidR="00922069" w:rsidRDefault="00922069"/>
    <w:p w:rsidR="00412B66" w:rsidRDefault="00412B66" w:rsidP="00412B66">
      <w:pPr>
        <w:pStyle w:val="Kop3"/>
      </w:pPr>
      <w:r>
        <w:t>Opmerkingen m.b.t. de regeling</w:t>
      </w:r>
    </w:p>
    <w:p w:rsidR="00412B66" w:rsidRDefault="00412B66" w:rsidP="00412B66">
      <w:bookmarkStart w:id="2" w:name="bkmOpmerkingen"/>
      <w:r>
        <w:t>Geen.</w:t>
      </w:r>
      <w:r>
        <w:rPr>
          <w:color w:val="FFFFFF"/>
        </w:rPr>
        <w:t xml:space="preserve"> </w:t>
      </w:r>
      <w:bookmarkEnd w:id="2"/>
      <w:r>
        <w:rPr>
          <w:color w:val="FFFFFF"/>
        </w:rPr>
        <w:t>|</w:t>
      </w:r>
    </w:p>
    <w:p w:rsidR="00412B66" w:rsidRDefault="00412B66" w:rsidP="00412B66">
      <w:pPr>
        <w:pStyle w:val="Kop3"/>
      </w:pPr>
      <w:r>
        <w:t>Grondslagen</w:t>
      </w:r>
    </w:p>
    <w:p w:rsidR="00412B66" w:rsidRDefault="00C314AB" w:rsidP="00C314AB">
      <w:pPr>
        <w:numPr>
          <w:ilvl w:val="0"/>
          <w:numId w:val="1"/>
        </w:numPr>
      </w:pPr>
      <w:bookmarkStart w:id="3" w:name="bkmGrondslagen"/>
      <w:r>
        <w:t>Artikel 213 Gemeentewet</w:t>
      </w:r>
      <w:bookmarkEnd w:id="3"/>
      <w:r w:rsidR="00412B66" w:rsidRPr="00C314AB">
        <w:t>|</w:t>
      </w:r>
    </w:p>
    <w:p w:rsidR="00412B66" w:rsidRDefault="00412B66" w:rsidP="00412B66">
      <w:pPr>
        <w:pStyle w:val="Kop3"/>
      </w:pPr>
      <w:r>
        <w:t>Regelgeving die op deze regeling is gebaseerd (gedelegeerde regelgeving)</w:t>
      </w:r>
    </w:p>
    <w:p w:rsidR="00412B66" w:rsidRDefault="00412B66" w:rsidP="00C314AB">
      <w:pPr>
        <w:numPr>
          <w:ilvl w:val="0"/>
          <w:numId w:val="14"/>
        </w:numPr>
      </w:pPr>
      <w:bookmarkStart w:id="4" w:name="bkmGedelegeerd"/>
      <w:r>
        <w:t xml:space="preserve">Geen. </w:t>
      </w:r>
      <w:bookmarkEnd w:id="4"/>
    </w:p>
    <w:p w:rsidR="00412B66" w:rsidRDefault="00412B66" w:rsidP="00412B66">
      <w:pPr>
        <w:pStyle w:val="Kop3"/>
      </w:pPr>
      <w:r>
        <w:t>Overzicht van in de tekst verwerkte wijzigingen</w:t>
      </w:r>
    </w:p>
    <w:tbl>
      <w:tblPr>
        <w:tblW w:w="9717" w:type="dxa"/>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ayout w:type="fixed"/>
        <w:tblCellMar>
          <w:left w:w="0" w:type="dxa"/>
          <w:right w:w="0" w:type="dxa"/>
        </w:tblCellMar>
        <w:tblLook w:val="0000"/>
      </w:tblPr>
      <w:tblGrid>
        <w:gridCol w:w="1257"/>
        <w:gridCol w:w="1260"/>
        <w:gridCol w:w="1800"/>
        <w:gridCol w:w="1980"/>
        <w:gridCol w:w="1980"/>
        <w:gridCol w:w="1440"/>
      </w:tblGrid>
      <w:tr w:rsidR="00412B66" w:rsidTr="00533378">
        <w:tc>
          <w:tcPr>
            <w:tcW w:w="1257" w:type="dxa"/>
            <w:shd w:val="clear" w:color="auto" w:fill="D9D9D9"/>
          </w:tcPr>
          <w:p w:rsidR="00412B66" w:rsidRDefault="00412B66" w:rsidP="00533378">
            <w:pPr>
              <w:rPr>
                <w:b/>
                <w:sz w:val="18"/>
              </w:rPr>
            </w:pPr>
            <w:r>
              <w:rPr>
                <w:b/>
                <w:sz w:val="18"/>
              </w:rPr>
              <w:t>Datum inwerking</w:t>
            </w:r>
            <w:r>
              <w:rPr>
                <w:b/>
                <w:sz w:val="18"/>
              </w:rPr>
              <w:softHyphen/>
              <w:t>treding</w:t>
            </w:r>
          </w:p>
        </w:tc>
        <w:tc>
          <w:tcPr>
            <w:tcW w:w="1260" w:type="dxa"/>
            <w:shd w:val="clear" w:color="auto" w:fill="D9D9D9"/>
          </w:tcPr>
          <w:p w:rsidR="00412B66" w:rsidRDefault="00412B66" w:rsidP="00533378">
            <w:pPr>
              <w:rPr>
                <w:b/>
                <w:sz w:val="18"/>
              </w:rPr>
            </w:pPr>
            <w:r>
              <w:rPr>
                <w:b/>
                <w:sz w:val="18"/>
              </w:rPr>
              <w:t>Terug</w:t>
            </w:r>
            <w:r>
              <w:rPr>
                <w:b/>
                <w:sz w:val="18"/>
              </w:rPr>
              <w:softHyphen/>
              <w:t>werkende kracht</w:t>
            </w:r>
          </w:p>
        </w:tc>
        <w:tc>
          <w:tcPr>
            <w:tcW w:w="1800" w:type="dxa"/>
            <w:shd w:val="clear" w:color="auto" w:fill="D9D9D9"/>
          </w:tcPr>
          <w:p w:rsidR="00412B66" w:rsidRDefault="00412B66" w:rsidP="00533378">
            <w:pPr>
              <w:rPr>
                <w:b/>
                <w:sz w:val="18"/>
              </w:rPr>
            </w:pPr>
            <w:r>
              <w:rPr>
                <w:b/>
                <w:sz w:val="18"/>
              </w:rPr>
              <w:t>Betreft</w:t>
            </w:r>
          </w:p>
        </w:tc>
        <w:tc>
          <w:tcPr>
            <w:tcW w:w="1980" w:type="dxa"/>
            <w:shd w:val="clear" w:color="auto" w:fill="D9D9D9"/>
          </w:tcPr>
          <w:p w:rsidR="00412B66" w:rsidRDefault="00412B66" w:rsidP="00533378">
            <w:pPr>
              <w:rPr>
                <w:b/>
                <w:sz w:val="18"/>
              </w:rPr>
            </w:pPr>
            <w:r>
              <w:rPr>
                <w:b/>
                <w:sz w:val="18"/>
              </w:rPr>
              <w:t xml:space="preserve">Ontstaansbron: </w:t>
            </w:r>
            <w:r>
              <w:rPr>
                <w:b/>
                <w:sz w:val="18"/>
              </w:rPr>
              <w:br/>
              <w:t>datum ondertekening;</w:t>
            </w:r>
            <w:r>
              <w:rPr>
                <w:b/>
                <w:sz w:val="18"/>
              </w:rPr>
              <w:br/>
              <w:t>bron bekendmaking</w:t>
            </w:r>
          </w:p>
        </w:tc>
        <w:tc>
          <w:tcPr>
            <w:tcW w:w="1980" w:type="dxa"/>
            <w:shd w:val="clear" w:color="auto" w:fill="D9D9D9"/>
          </w:tcPr>
          <w:p w:rsidR="00412B66" w:rsidRDefault="00412B66" w:rsidP="00533378">
            <w:pPr>
              <w:rPr>
                <w:b/>
                <w:sz w:val="18"/>
              </w:rPr>
            </w:pPr>
            <w:r>
              <w:rPr>
                <w:b/>
                <w:sz w:val="18"/>
              </w:rPr>
              <w:t>Inwerkingtreding: datum ondertekening;</w:t>
            </w:r>
            <w:r>
              <w:rPr>
                <w:b/>
                <w:sz w:val="18"/>
              </w:rPr>
              <w:br/>
              <w:t>bron bekendmaking</w:t>
            </w:r>
          </w:p>
        </w:tc>
        <w:tc>
          <w:tcPr>
            <w:tcW w:w="1440" w:type="dxa"/>
            <w:shd w:val="clear" w:color="auto" w:fill="D9D9D9"/>
          </w:tcPr>
          <w:p w:rsidR="00412B66" w:rsidRDefault="00412B66" w:rsidP="00533378">
            <w:pPr>
              <w:rPr>
                <w:b/>
                <w:sz w:val="18"/>
              </w:rPr>
            </w:pPr>
            <w:r>
              <w:rPr>
                <w:b/>
                <w:sz w:val="18"/>
              </w:rPr>
              <w:t>Voorstel</w:t>
            </w:r>
            <w:r>
              <w:rPr>
                <w:b/>
                <w:sz w:val="18"/>
              </w:rPr>
              <w:br/>
            </w:r>
            <w:bookmarkStart w:id="5" w:name="bkmKolomtitelVoorstel"/>
            <w:r>
              <w:rPr>
                <w:b/>
                <w:sz w:val="18"/>
              </w:rPr>
              <w:t>gemeenteraad</w:t>
            </w:r>
            <w:bookmarkEnd w:id="5"/>
          </w:p>
        </w:tc>
      </w:tr>
      <w:tr w:rsidR="00412B66" w:rsidTr="00533378">
        <w:tc>
          <w:tcPr>
            <w:tcW w:w="1257" w:type="dxa"/>
            <w:shd w:val="clear" w:color="auto" w:fill="FFFFFF"/>
          </w:tcPr>
          <w:p w:rsidR="00412B66" w:rsidRDefault="00C314AB" w:rsidP="00533378">
            <w:pPr>
              <w:rPr>
                <w:sz w:val="18"/>
              </w:rPr>
            </w:pPr>
            <w:r>
              <w:rPr>
                <w:sz w:val="18"/>
              </w:rPr>
              <w:t>01-01-2017</w:t>
            </w:r>
          </w:p>
        </w:tc>
        <w:tc>
          <w:tcPr>
            <w:tcW w:w="1260" w:type="dxa"/>
            <w:shd w:val="clear" w:color="auto" w:fill="FFFFFF"/>
          </w:tcPr>
          <w:p w:rsidR="00412B66" w:rsidRDefault="00412B66" w:rsidP="00533378">
            <w:pPr>
              <w:rPr>
                <w:sz w:val="18"/>
              </w:rPr>
            </w:pPr>
          </w:p>
        </w:tc>
        <w:tc>
          <w:tcPr>
            <w:tcW w:w="1800" w:type="dxa"/>
            <w:shd w:val="clear" w:color="auto" w:fill="FFFFFF"/>
          </w:tcPr>
          <w:p w:rsidR="00412B66" w:rsidRDefault="00C314AB" w:rsidP="00533378">
            <w:pPr>
              <w:rPr>
                <w:sz w:val="18"/>
              </w:rPr>
            </w:pPr>
            <w:r>
              <w:rPr>
                <w:sz w:val="18"/>
              </w:rPr>
              <w:t>Wijziging</w:t>
            </w:r>
          </w:p>
        </w:tc>
        <w:tc>
          <w:tcPr>
            <w:tcW w:w="1980" w:type="dxa"/>
            <w:shd w:val="clear" w:color="auto" w:fill="FFFFFF"/>
          </w:tcPr>
          <w:p w:rsidR="00412B66" w:rsidRDefault="00C314AB" w:rsidP="00533378">
            <w:pPr>
              <w:rPr>
                <w:sz w:val="18"/>
              </w:rPr>
            </w:pPr>
            <w:r>
              <w:rPr>
                <w:sz w:val="18"/>
              </w:rPr>
              <w:t>24 mei 2016</w:t>
            </w:r>
            <w:r w:rsidR="004B365B">
              <w:rPr>
                <w:sz w:val="18"/>
              </w:rPr>
              <w:fldChar w:fldCharType="begin"/>
            </w:r>
            <w:r w:rsidR="00412B66">
              <w:rPr>
                <w:sz w:val="18"/>
              </w:rPr>
              <w:instrText xml:space="preserve"> IF TRUE "[</w:instrText>
            </w:r>
            <w:r w:rsidR="00412B66">
              <w:rPr>
                <w:rFonts w:ascii="Times New Roman" w:hAnsi="Times New Roman" w:cs="Times New Roman"/>
                <w:snapToGrid/>
                <w:color w:val="auto"/>
                <w:sz w:val="24"/>
                <w:szCs w:val="24"/>
              </w:rPr>
              <w:instrText xml:space="preserve"> </w:instrText>
            </w:r>
            <w:r w:rsidR="00255426" w:rsidRPr="004B365B">
              <w:rPr>
                <w:rFonts w:ascii="Times New Roman" w:hAnsi="Times New Roman" w:cs="Times New Roman"/>
                <w:snapToGrid/>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7" o:title=""/>
                </v:shape>
              </w:pict>
            </w:r>
            <w:r w:rsidR="00412B66">
              <w:rPr>
                <w:sz w:val="18"/>
              </w:rPr>
              <w:instrText xml:space="preserve">Vindplaats bekendmaking]" Q|49576378D2144451BD622945FAC39597| </w:instrText>
            </w:r>
            <w:r w:rsidR="004B365B">
              <w:rPr>
                <w:sz w:val="18"/>
              </w:rPr>
              <w:fldChar w:fldCharType="separate"/>
            </w:r>
            <w:r w:rsidR="00E14309">
              <w:rPr>
                <w:noProof/>
                <w:sz w:val="18"/>
              </w:rPr>
              <w:t>[</w:t>
            </w:r>
            <w:r w:rsidR="00E14309">
              <w:rPr>
                <w:rFonts w:ascii="Times New Roman" w:hAnsi="Times New Roman" w:cs="Times New Roman"/>
                <w:noProof/>
                <w:snapToGrid/>
                <w:color w:val="auto"/>
                <w:sz w:val="24"/>
                <w:szCs w:val="24"/>
              </w:rPr>
              <w:t xml:space="preserve"> </w:t>
            </w:r>
            <w:r w:rsidR="00255426" w:rsidRPr="004B365B">
              <w:rPr>
                <w:rFonts w:ascii="Times New Roman" w:hAnsi="Times New Roman" w:cs="Times New Roman"/>
                <w:noProof/>
                <w:snapToGrid/>
                <w:color w:val="auto"/>
                <w:sz w:val="24"/>
                <w:szCs w:val="24"/>
              </w:rPr>
              <w:pict>
                <v:shape id="_x0000_i1026" type="#_x0000_t75" style="width:9pt;height:9pt">
                  <v:imagedata r:id="rId7" o:title=""/>
                </v:shape>
              </w:pict>
            </w:r>
            <w:r w:rsidR="00E14309">
              <w:rPr>
                <w:noProof/>
                <w:sz w:val="18"/>
              </w:rPr>
              <w:t>Vindplaats bekendmaking]</w:t>
            </w:r>
            <w:r w:rsidR="004B365B">
              <w:rPr>
                <w:sz w:val="18"/>
              </w:rPr>
              <w:fldChar w:fldCharType="end"/>
            </w:r>
          </w:p>
        </w:tc>
        <w:tc>
          <w:tcPr>
            <w:tcW w:w="1980" w:type="dxa"/>
            <w:shd w:val="clear" w:color="auto" w:fill="FFFFFF"/>
          </w:tcPr>
          <w:p w:rsidR="00412B66" w:rsidRDefault="004B365B" w:rsidP="00533378">
            <w:pPr>
              <w:rPr>
                <w:sz w:val="18"/>
              </w:rPr>
            </w:pPr>
            <w:r>
              <w:rPr>
                <w:sz w:val="18"/>
              </w:rPr>
              <w:fldChar w:fldCharType="begin"/>
            </w:r>
            <w:r w:rsidR="00412B66">
              <w:rPr>
                <w:sz w:val="18"/>
              </w:rPr>
              <w:instrText xml:space="preserve"> IF TRUE "[</w:instrText>
            </w:r>
            <w:r w:rsidR="00412B66">
              <w:rPr>
                <w:rFonts w:ascii="Times New Roman" w:hAnsi="Times New Roman" w:cs="Times New Roman"/>
                <w:snapToGrid/>
                <w:color w:val="auto"/>
                <w:sz w:val="24"/>
                <w:szCs w:val="24"/>
              </w:rPr>
              <w:instrText xml:space="preserve"> </w:instrText>
            </w:r>
            <w:r w:rsidR="00255426" w:rsidRPr="004B365B">
              <w:rPr>
                <w:rFonts w:ascii="Times New Roman" w:hAnsi="Times New Roman" w:cs="Times New Roman"/>
                <w:snapToGrid/>
                <w:color w:val="auto"/>
                <w:sz w:val="24"/>
                <w:szCs w:val="24"/>
              </w:rPr>
              <w:pict>
                <v:shape id="_x0000_i1027" type="#_x0000_t75" style="width:9pt;height:9pt">
                  <v:imagedata r:id="rId7" o:title=""/>
                </v:shape>
              </w:pict>
            </w:r>
            <w:r w:rsidR="00412B66">
              <w:rPr>
                <w:sz w:val="18"/>
              </w:rPr>
              <w:instrText xml:space="preserve">Datum ondertekening regeling]" Q|69A352FC18F14432B333F3951283CFA4| </w:instrText>
            </w:r>
            <w:r>
              <w:rPr>
                <w:sz w:val="18"/>
              </w:rPr>
              <w:fldChar w:fldCharType="separate"/>
            </w:r>
            <w:r w:rsidR="00E14309">
              <w:rPr>
                <w:noProof/>
                <w:sz w:val="18"/>
              </w:rPr>
              <w:t>[</w:t>
            </w:r>
            <w:r w:rsidR="00E14309">
              <w:rPr>
                <w:rFonts w:ascii="Times New Roman" w:hAnsi="Times New Roman" w:cs="Times New Roman"/>
                <w:noProof/>
                <w:snapToGrid/>
                <w:color w:val="auto"/>
                <w:sz w:val="24"/>
                <w:szCs w:val="24"/>
              </w:rPr>
              <w:t xml:space="preserve"> </w:t>
            </w:r>
            <w:r w:rsidR="00255426" w:rsidRPr="004B365B">
              <w:rPr>
                <w:rFonts w:ascii="Times New Roman" w:hAnsi="Times New Roman" w:cs="Times New Roman"/>
                <w:noProof/>
                <w:snapToGrid/>
                <w:color w:val="auto"/>
                <w:sz w:val="24"/>
                <w:szCs w:val="24"/>
              </w:rPr>
              <w:pict>
                <v:shape id="_x0000_i1028" type="#_x0000_t75" style="width:9pt;height:9pt">
                  <v:imagedata r:id="rId7" o:title=""/>
                </v:shape>
              </w:pict>
            </w:r>
            <w:r w:rsidR="00E14309">
              <w:rPr>
                <w:noProof/>
                <w:sz w:val="18"/>
              </w:rPr>
              <w:t>Datum ondertekening regeling]</w:t>
            </w:r>
            <w:r>
              <w:rPr>
                <w:sz w:val="18"/>
              </w:rPr>
              <w:fldChar w:fldCharType="end"/>
            </w:r>
          </w:p>
          <w:p w:rsidR="00412B66" w:rsidRDefault="004B365B" w:rsidP="00533378">
            <w:pPr>
              <w:rPr>
                <w:sz w:val="18"/>
              </w:rPr>
            </w:pPr>
            <w:r>
              <w:rPr>
                <w:sz w:val="18"/>
              </w:rPr>
              <w:fldChar w:fldCharType="begin"/>
            </w:r>
            <w:r w:rsidR="00412B66">
              <w:rPr>
                <w:sz w:val="18"/>
              </w:rPr>
              <w:instrText xml:space="preserve"> IF TRUE "[</w:instrText>
            </w:r>
            <w:r w:rsidR="00412B66">
              <w:rPr>
                <w:rFonts w:ascii="Times New Roman" w:hAnsi="Times New Roman" w:cs="Times New Roman"/>
                <w:snapToGrid/>
                <w:color w:val="auto"/>
                <w:sz w:val="24"/>
                <w:szCs w:val="24"/>
              </w:rPr>
              <w:instrText xml:space="preserve"> </w:instrText>
            </w:r>
            <w:r w:rsidR="00255426" w:rsidRPr="004B365B">
              <w:rPr>
                <w:rFonts w:ascii="Times New Roman" w:hAnsi="Times New Roman" w:cs="Times New Roman"/>
                <w:snapToGrid/>
                <w:color w:val="auto"/>
                <w:sz w:val="24"/>
                <w:szCs w:val="24"/>
              </w:rPr>
              <w:pict>
                <v:shape id="_x0000_i1029" type="#_x0000_t75" style="width:9pt;height:9pt">
                  <v:imagedata r:id="rId7" o:title=""/>
                </v:shape>
              </w:pict>
            </w:r>
            <w:r w:rsidR="00412B66">
              <w:rPr>
                <w:sz w:val="18"/>
              </w:rPr>
              <w:instrText xml:space="preserve">Vindplaats bekendmaking]" Q|49576378D2144451BD622945FAC39597| </w:instrText>
            </w:r>
            <w:r>
              <w:rPr>
                <w:sz w:val="18"/>
              </w:rPr>
              <w:fldChar w:fldCharType="separate"/>
            </w:r>
            <w:r w:rsidR="00E14309">
              <w:rPr>
                <w:noProof/>
                <w:sz w:val="18"/>
              </w:rPr>
              <w:t>[</w:t>
            </w:r>
            <w:r w:rsidR="00E14309">
              <w:rPr>
                <w:rFonts w:ascii="Times New Roman" w:hAnsi="Times New Roman" w:cs="Times New Roman"/>
                <w:noProof/>
                <w:snapToGrid/>
                <w:color w:val="auto"/>
                <w:sz w:val="24"/>
                <w:szCs w:val="24"/>
              </w:rPr>
              <w:t xml:space="preserve"> </w:t>
            </w:r>
            <w:r w:rsidR="00255426" w:rsidRPr="004B365B">
              <w:rPr>
                <w:rFonts w:ascii="Times New Roman" w:hAnsi="Times New Roman" w:cs="Times New Roman"/>
                <w:noProof/>
                <w:snapToGrid/>
                <w:color w:val="auto"/>
                <w:sz w:val="24"/>
                <w:szCs w:val="24"/>
              </w:rPr>
              <w:pict>
                <v:shape id="_x0000_i1030" type="#_x0000_t75" style="width:9pt;height:9pt">
                  <v:imagedata r:id="rId7" o:title=""/>
                </v:shape>
              </w:pict>
            </w:r>
            <w:r w:rsidR="00E14309">
              <w:rPr>
                <w:noProof/>
                <w:sz w:val="18"/>
              </w:rPr>
              <w:t>Vindplaats bekendmaking]</w:t>
            </w:r>
            <w:r>
              <w:rPr>
                <w:sz w:val="18"/>
              </w:rPr>
              <w:fldChar w:fldCharType="end"/>
            </w:r>
          </w:p>
        </w:tc>
        <w:tc>
          <w:tcPr>
            <w:tcW w:w="1440" w:type="dxa"/>
            <w:shd w:val="clear" w:color="auto" w:fill="FFFFFF"/>
          </w:tcPr>
          <w:p w:rsidR="00412B66" w:rsidRDefault="00C314AB" w:rsidP="00533378">
            <w:pPr>
              <w:rPr>
                <w:sz w:val="18"/>
              </w:rPr>
            </w:pPr>
            <w:r>
              <w:rPr>
                <w:sz w:val="18"/>
              </w:rPr>
              <w:t>RB2016025</w:t>
            </w:r>
          </w:p>
        </w:tc>
      </w:tr>
    </w:tbl>
    <w:p w:rsidR="00412B66" w:rsidRPr="00271FFD" w:rsidRDefault="00412B66" w:rsidP="00412B66">
      <w:pPr>
        <w:pStyle w:val="Kop2"/>
        <w:rPr>
          <w:b w:val="0"/>
          <w:i w:val="0"/>
        </w:rPr>
      </w:pPr>
      <w:bookmarkStart w:id="6" w:name="bkmDatumInwerking"/>
      <w:bookmarkEnd w:id="6"/>
    </w:p>
    <w:p w:rsidR="00EB5A02" w:rsidRDefault="00EB5A02" w:rsidP="00EB5A02">
      <w:pPr>
        <w:pStyle w:val="Kop2"/>
      </w:pPr>
      <w:r>
        <w:br w:type="page"/>
      </w:r>
      <w:r w:rsidR="004B365B" w:rsidRPr="004B365B">
        <w:rPr>
          <w:b w:val="0"/>
          <w:i w:val="0"/>
          <w:noProof/>
          <w:sz w:val="20"/>
        </w:rPr>
        <w:lastRenderedPageBreak/>
        <w:pict>
          <v:shape id="_x0000_s1026" type="#_x0000_t75" style="position:absolute;margin-left:243.7pt;margin-top:-52.8pt;width:199.3pt;height:61.9pt;z-index:251657728;visibility:visible;mso-wrap-edited:f;mso-position-horizontal-relative:page">
            <v:imagedata r:id="rId8" o:title=""/>
            <w10:wrap type="topAndBottom" anchorx="page"/>
          </v:shape>
          <o:OLEObject Type="Embed" ProgID="Word.Picture.8" ShapeID="_x0000_s1026" DrawAspect="Content" ObjectID="_1526880968" r:id="rId9"/>
        </w:pict>
      </w:r>
      <w:r>
        <w:t>Geconsolideerde tekst van de regeling</w:t>
      </w:r>
    </w:p>
    <w:p w:rsidR="00EB5A02" w:rsidRDefault="00EB5A02" w:rsidP="00EB5A02">
      <w:pPr>
        <w:tabs>
          <w:tab w:val="left" w:pos="426"/>
        </w:tabs>
        <w:rPr>
          <w:b/>
        </w:rPr>
      </w:pPr>
      <w:proofErr w:type="spellStart"/>
      <w:r>
        <w:t>Nr</w:t>
      </w:r>
      <w:proofErr w:type="spellEnd"/>
      <w:r>
        <w:t>.</w:t>
      </w:r>
      <w:r>
        <w:tab/>
      </w:r>
      <w:r w:rsidR="00E14309">
        <w:t>RB2016025</w:t>
      </w:r>
    </w:p>
    <w:p w:rsidR="00EB5A02" w:rsidRDefault="00EB5A02" w:rsidP="00EB5A02">
      <w:pPr>
        <w:tabs>
          <w:tab w:val="left" w:pos="567"/>
          <w:tab w:val="left" w:pos="1134"/>
          <w:tab w:val="left" w:pos="1418"/>
          <w:tab w:val="left" w:pos="3969"/>
          <w:tab w:val="left" w:pos="5670"/>
        </w:tabs>
        <w:jc w:val="both"/>
      </w:pPr>
    </w:p>
    <w:p w:rsidR="00EB5A02" w:rsidRDefault="00EB5A02" w:rsidP="00EB5A02">
      <w:pPr>
        <w:tabs>
          <w:tab w:val="left" w:pos="567"/>
          <w:tab w:val="left" w:pos="1134"/>
          <w:tab w:val="left" w:pos="1418"/>
          <w:tab w:val="left" w:pos="3969"/>
          <w:tab w:val="left" w:pos="5670"/>
        </w:tabs>
        <w:jc w:val="both"/>
      </w:pPr>
    </w:p>
    <w:p w:rsidR="00EB5A02" w:rsidRDefault="00EB5A02" w:rsidP="00EB5A02">
      <w:pPr>
        <w:tabs>
          <w:tab w:val="left" w:pos="567"/>
          <w:tab w:val="left" w:pos="1134"/>
          <w:tab w:val="left" w:pos="1418"/>
          <w:tab w:val="left" w:pos="3969"/>
          <w:tab w:val="left" w:pos="5670"/>
        </w:tabs>
        <w:jc w:val="both"/>
      </w:pPr>
    </w:p>
    <w:p w:rsidR="00EB5A02" w:rsidRDefault="00EB5A02" w:rsidP="00EB5A02">
      <w:pPr>
        <w:tabs>
          <w:tab w:val="left" w:pos="567"/>
          <w:tab w:val="left" w:pos="1134"/>
          <w:tab w:val="left" w:pos="1418"/>
          <w:tab w:val="left" w:pos="3969"/>
          <w:tab w:val="left" w:pos="5670"/>
        </w:tabs>
        <w:jc w:val="both"/>
      </w:pPr>
      <w:r>
        <w:t>de Raad van de gemeente Heerhugowaard;</w:t>
      </w:r>
    </w:p>
    <w:p w:rsidR="00EB5A02" w:rsidRDefault="00EB5A02" w:rsidP="00EB5A02">
      <w:pPr>
        <w:tabs>
          <w:tab w:val="left" w:pos="567"/>
          <w:tab w:val="left" w:pos="1134"/>
          <w:tab w:val="left" w:pos="1418"/>
          <w:tab w:val="left" w:pos="3969"/>
          <w:tab w:val="left" w:pos="5670"/>
        </w:tabs>
        <w:jc w:val="both"/>
      </w:pPr>
    </w:p>
    <w:p w:rsidR="00EB5A02" w:rsidRDefault="00EB5A02" w:rsidP="00EB5A02">
      <w:pPr>
        <w:rPr>
          <w:b/>
        </w:rPr>
      </w:pPr>
      <w:r>
        <w:t xml:space="preserve">gelezen het voorstel van </w:t>
      </w:r>
      <w:proofErr w:type="spellStart"/>
      <w:r w:rsidR="00E14309">
        <w:t>auditcommissie</w:t>
      </w:r>
      <w:proofErr w:type="spellEnd"/>
      <w:r>
        <w:t xml:space="preserve"> d.d. </w:t>
      </w:r>
      <w:r w:rsidR="00E14309">
        <w:t>24 maart 2016</w:t>
      </w:r>
    </w:p>
    <w:p w:rsidR="00EB5A02" w:rsidRDefault="00EB5A02" w:rsidP="00EB5A02">
      <w:pPr>
        <w:tabs>
          <w:tab w:val="left" w:pos="567"/>
          <w:tab w:val="left" w:pos="1134"/>
          <w:tab w:val="left" w:pos="1418"/>
          <w:tab w:val="left" w:pos="3969"/>
          <w:tab w:val="left" w:pos="5670"/>
        </w:tabs>
        <w:jc w:val="both"/>
      </w:pPr>
    </w:p>
    <w:p w:rsidR="00EB5A02" w:rsidRDefault="00E14309" w:rsidP="00EB5A02">
      <w:pPr>
        <w:tabs>
          <w:tab w:val="left" w:pos="567"/>
          <w:tab w:val="left" w:pos="1134"/>
          <w:tab w:val="left" w:pos="1418"/>
          <w:tab w:val="left" w:pos="3969"/>
          <w:tab w:val="left" w:pos="5670"/>
        </w:tabs>
        <w:jc w:val="both"/>
      </w:pPr>
      <w:r>
        <w:t>artikel 213 Gemeentewet</w:t>
      </w:r>
    </w:p>
    <w:p w:rsidR="00EB5A02" w:rsidRDefault="00EB5A02" w:rsidP="00EB5A02">
      <w:pPr>
        <w:tabs>
          <w:tab w:val="left" w:pos="567"/>
          <w:tab w:val="left" w:pos="1134"/>
          <w:tab w:val="left" w:pos="1418"/>
          <w:tab w:val="left" w:pos="3969"/>
          <w:tab w:val="left" w:pos="5670"/>
        </w:tabs>
        <w:jc w:val="both"/>
      </w:pPr>
    </w:p>
    <w:p w:rsidR="00EB5A02" w:rsidRDefault="00EB5A02" w:rsidP="00EB5A02">
      <w:pPr>
        <w:tabs>
          <w:tab w:val="left" w:pos="567"/>
          <w:tab w:val="left" w:pos="1134"/>
          <w:tab w:val="left" w:pos="1418"/>
          <w:tab w:val="left" w:pos="3969"/>
          <w:tab w:val="left" w:pos="5670"/>
        </w:tabs>
        <w:jc w:val="both"/>
      </w:pPr>
      <w:r>
        <w:t>b e s l u i t</w:t>
      </w:r>
    </w:p>
    <w:p w:rsidR="00EB5A02" w:rsidRDefault="00EB5A02" w:rsidP="00EB5A02">
      <w:pPr>
        <w:tabs>
          <w:tab w:val="left" w:pos="567"/>
          <w:tab w:val="left" w:pos="1134"/>
          <w:tab w:val="left" w:pos="1418"/>
          <w:tab w:val="left" w:pos="3969"/>
          <w:tab w:val="left" w:pos="5670"/>
        </w:tabs>
        <w:jc w:val="both"/>
      </w:pPr>
    </w:p>
    <w:p w:rsidR="00E14309" w:rsidRDefault="00E14309" w:rsidP="00E14309">
      <w:pPr>
        <w:autoSpaceDE w:val="0"/>
        <w:autoSpaceDN w:val="0"/>
        <w:adjustRightInd w:val="0"/>
        <w:rPr>
          <w:rFonts w:ascii="Arial-OneByteIdentityH" w:hAnsi="Arial-OneByteIdentityH" w:cs="Arial-OneByteIdentityH"/>
          <w:snapToGrid/>
          <w:color w:val="auto"/>
          <w:szCs w:val="21"/>
        </w:rPr>
      </w:pPr>
      <w:r>
        <w:rPr>
          <w:rFonts w:ascii="Arial-OneByteIdentityH" w:hAnsi="Arial-OneByteIdentityH" w:cs="Arial-OneByteIdentityH"/>
          <w:snapToGrid/>
          <w:color w:val="auto"/>
          <w:szCs w:val="21"/>
        </w:rPr>
        <w:t>De controleverordening gemeente Heerhugowaard 2016 vast te stellen, onder gelijktijdige</w:t>
      </w:r>
    </w:p>
    <w:p w:rsidR="00E14309" w:rsidRDefault="00E14309" w:rsidP="00E14309">
      <w:pPr>
        <w:autoSpaceDE w:val="0"/>
        <w:autoSpaceDN w:val="0"/>
        <w:adjustRightInd w:val="0"/>
        <w:rPr>
          <w:rFonts w:ascii="Arial-OneByteIdentityH" w:hAnsi="Arial-OneByteIdentityH" w:cs="Arial-OneByteIdentityH"/>
          <w:snapToGrid/>
          <w:color w:val="auto"/>
          <w:szCs w:val="21"/>
        </w:rPr>
      </w:pPr>
      <w:r>
        <w:rPr>
          <w:rFonts w:ascii="Arial-OneByteIdentityH" w:hAnsi="Arial-OneByteIdentityH" w:cs="Arial-OneByteIdentityH"/>
          <w:snapToGrid/>
          <w:color w:val="auto"/>
          <w:szCs w:val="21"/>
        </w:rPr>
        <w:t>intrekking van de Controleverordening gemeente Heerhugowaard.</w:t>
      </w:r>
    </w:p>
    <w:p w:rsidR="00E14309" w:rsidRDefault="00E14309" w:rsidP="00E14309">
      <w:pPr>
        <w:autoSpaceDE w:val="0"/>
        <w:autoSpaceDN w:val="0"/>
        <w:adjustRightInd w:val="0"/>
        <w:rPr>
          <w:rFonts w:ascii="Arial-OneByteIdentityH" w:hAnsi="Arial-OneByteIdentityH" w:cs="Arial-OneByteIdentityH"/>
          <w:snapToGrid/>
          <w:color w:val="auto"/>
          <w:szCs w:val="21"/>
        </w:rPr>
      </w:pPr>
      <w:r>
        <w:rPr>
          <w:rFonts w:ascii="Arial-OneByteIdentityH" w:hAnsi="Arial-OneByteIdentityH" w:cs="Arial-OneByteIdentityH"/>
          <w:snapToGrid/>
          <w:color w:val="auto"/>
          <w:szCs w:val="21"/>
        </w:rPr>
        <w:t>De ingangsdatum van deze verordening is 1 juli 2016, met dien verstande dat de oude</w:t>
      </w:r>
    </w:p>
    <w:p w:rsidR="00EB5A02" w:rsidRDefault="00E14309" w:rsidP="00E14309">
      <w:r>
        <w:rPr>
          <w:rFonts w:ascii="Arial-OneByteIdentityH" w:hAnsi="Arial-OneByteIdentityH" w:cs="Arial-OneByteIdentityH"/>
          <w:snapToGrid/>
          <w:color w:val="auto"/>
          <w:szCs w:val="21"/>
        </w:rPr>
        <w:t>Controleverordening van toepassing blijft voor de controle van het boekjaar 2015 en 2016.</w:t>
      </w:r>
    </w:p>
    <w:p w:rsidR="00EB5A02" w:rsidRDefault="00EB5A02" w:rsidP="00EB5A02">
      <w:pPr>
        <w:tabs>
          <w:tab w:val="left" w:pos="567"/>
          <w:tab w:val="left" w:pos="1134"/>
          <w:tab w:val="left" w:pos="1418"/>
          <w:tab w:val="left" w:pos="3969"/>
          <w:tab w:val="left" w:pos="5670"/>
        </w:tabs>
        <w:jc w:val="both"/>
      </w:pPr>
    </w:p>
    <w:p w:rsidR="00EB5A02" w:rsidRDefault="00EB5A02" w:rsidP="00E14309">
      <w:pPr>
        <w:pStyle w:val="Kop3"/>
      </w:pPr>
      <w:r>
        <w:t>Artikel 1</w:t>
      </w:r>
      <w:r w:rsidR="00E14309">
        <w:t xml:space="preserve"> Definities</w:t>
      </w:r>
    </w:p>
    <w:p w:rsidR="00E14309" w:rsidRDefault="00E14309" w:rsidP="00E14309">
      <w:r>
        <w:t>In deze verordening wordt verstaan onder:</w:t>
      </w:r>
    </w:p>
    <w:p w:rsidR="00E14309" w:rsidRDefault="00E14309" w:rsidP="00E14309">
      <w:pPr>
        <w:numPr>
          <w:ilvl w:val="0"/>
          <w:numId w:val="3"/>
        </w:numPr>
        <w:ind w:left="720" w:hanging="360"/>
        <w:outlineLvl w:val="0"/>
      </w:pPr>
      <w:r>
        <w:rPr>
          <w:b/>
        </w:rPr>
        <w:t>accountant</w:t>
      </w:r>
      <w:r>
        <w:br/>
        <w:t>een door de raad benoemde:</w:t>
      </w:r>
    </w:p>
    <w:p w:rsidR="00E14309" w:rsidRDefault="00E14309" w:rsidP="00E14309">
      <w:pPr>
        <w:numPr>
          <w:ilvl w:val="0"/>
          <w:numId w:val="4"/>
        </w:numPr>
        <w:ind w:left="1134" w:hanging="425"/>
        <w:outlineLvl w:val="0"/>
      </w:pPr>
      <w:r>
        <w:t xml:space="preserve">registeraccountant of </w:t>
      </w:r>
    </w:p>
    <w:p w:rsidR="00E14309" w:rsidRDefault="00E14309" w:rsidP="00E14309">
      <w:pPr>
        <w:numPr>
          <w:ilvl w:val="0"/>
          <w:numId w:val="4"/>
        </w:numPr>
        <w:ind w:left="1134" w:hanging="425"/>
        <w:outlineLvl w:val="0"/>
      </w:pPr>
      <w:r>
        <w:t xml:space="preserve">accountant-administratieconsulent met een aantekening in het inschrijvingsregister als bedoeld in het derde lid van artikel 36, Wet op de </w:t>
      </w:r>
      <w:proofErr w:type="spellStart"/>
      <w:r>
        <w:t>Accountant-Administratie</w:t>
      </w:r>
      <w:r>
        <w:softHyphen/>
        <w:t>consu</w:t>
      </w:r>
      <w:r>
        <w:softHyphen/>
        <w:t>lenten</w:t>
      </w:r>
      <w:proofErr w:type="spellEnd"/>
      <w:r>
        <w:t xml:space="preserve"> </w:t>
      </w:r>
    </w:p>
    <w:p w:rsidR="00E14309" w:rsidRDefault="00E14309" w:rsidP="00E14309">
      <w:pPr>
        <w:ind w:left="709"/>
        <w:outlineLvl w:val="0"/>
      </w:pPr>
      <w:r>
        <w:t>of</w:t>
      </w:r>
    </w:p>
    <w:p w:rsidR="00E14309" w:rsidRDefault="00E14309" w:rsidP="00E14309">
      <w:pPr>
        <w:numPr>
          <w:ilvl w:val="0"/>
          <w:numId w:val="4"/>
        </w:numPr>
        <w:ind w:left="1134" w:hanging="425"/>
        <w:outlineLvl w:val="0"/>
      </w:pPr>
      <w:r>
        <w:t>organisatie waarin voor de accountantscontrole bevoegde accountants samen</w:t>
      </w:r>
      <w:r>
        <w:softHyphen/>
        <w:t xml:space="preserve">werken, belast met de controle van de in artikel 197 Gemeentewet bedoelde jaarrekening. </w:t>
      </w:r>
    </w:p>
    <w:p w:rsidR="00E14309" w:rsidRDefault="00E14309" w:rsidP="00E14309">
      <w:pPr>
        <w:numPr>
          <w:ilvl w:val="0"/>
          <w:numId w:val="3"/>
        </w:numPr>
        <w:ind w:left="720" w:hanging="360"/>
        <w:outlineLvl w:val="0"/>
      </w:pPr>
      <w:r>
        <w:rPr>
          <w:b/>
        </w:rPr>
        <w:t>accountantscontrole</w:t>
      </w:r>
      <w:r>
        <w:br/>
        <w:t>de controle van de in artikel 197 Gemeentewet bedoelde jaarrekening uitgevoerd door de door de raad benoemde accountant van:</w:t>
      </w:r>
    </w:p>
    <w:p w:rsidR="00E14309" w:rsidRDefault="00E14309" w:rsidP="00E14309">
      <w:pPr>
        <w:numPr>
          <w:ilvl w:val="0"/>
          <w:numId w:val="4"/>
        </w:numPr>
        <w:ind w:left="1134" w:hanging="425"/>
        <w:outlineLvl w:val="0"/>
      </w:pPr>
      <w:r>
        <w:t xml:space="preserve">het getrouwe beeld van de in de jaarrekening gepresenteerde baten en lasten en de grootte en samenstelling van het vermogen; </w:t>
      </w:r>
    </w:p>
    <w:p w:rsidR="00E14309" w:rsidRDefault="00E14309" w:rsidP="00E14309">
      <w:pPr>
        <w:numPr>
          <w:ilvl w:val="0"/>
          <w:numId w:val="4"/>
        </w:numPr>
        <w:ind w:left="1134" w:hanging="425"/>
        <w:outlineLvl w:val="0"/>
      </w:pPr>
      <w:r>
        <w:t xml:space="preserve">het rechtmatig tot stand komen van de baten en lasten en balansmutaties; </w:t>
      </w:r>
    </w:p>
    <w:p w:rsidR="00E14309" w:rsidRDefault="00E14309" w:rsidP="00E14309">
      <w:pPr>
        <w:numPr>
          <w:ilvl w:val="0"/>
          <w:numId w:val="4"/>
        </w:numPr>
        <w:ind w:left="1134" w:hanging="425"/>
        <w:outlineLvl w:val="0"/>
      </w:pPr>
      <w:r>
        <w:t xml:space="preserve">het in overeenstemming zijn van de door het college opgestelde jaarrekening met de bij of krachtens algemene maatregel van bestuur te stellen regels bedoelt in artikel 186 Gemeentewet; </w:t>
      </w:r>
    </w:p>
    <w:p w:rsidR="00E14309" w:rsidRDefault="00E14309" w:rsidP="00E14309">
      <w:pPr>
        <w:numPr>
          <w:ilvl w:val="0"/>
          <w:numId w:val="4"/>
        </w:numPr>
        <w:ind w:left="1134" w:hanging="425"/>
        <w:outlineLvl w:val="0"/>
      </w:pPr>
      <w:r>
        <w:t>de inrichting van het financieel beheer en de financiële organisatie gericht op de vraag of deze een getrouwe en rechtmatige verantwoording mogelijk maken, waar</w:t>
      </w:r>
      <w:r>
        <w:softHyphen/>
        <w:t>bij de nade</w:t>
      </w:r>
      <w:r>
        <w:softHyphen/>
        <w:t>re regels die bij of krachtens algemene maatregel van bestuur worden gesteld op grond van het zesde lid van artikel 213 Gemeentewet, in acht worden genomen.</w:t>
      </w:r>
    </w:p>
    <w:p w:rsidR="00E14309" w:rsidRDefault="00E14309" w:rsidP="00E14309">
      <w:pPr>
        <w:numPr>
          <w:ilvl w:val="0"/>
          <w:numId w:val="3"/>
        </w:numPr>
        <w:ind w:left="720" w:hanging="360"/>
        <w:outlineLvl w:val="0"/>
      </w:pPr>
      <w:r>
        <w:rPr>
          <w:b/>
        </w:rPr>
        <w:t>rechtmatigheid in het kader van de accountantscontrole</w:t>
      </w:r>
      <w:r>
        <w:br/>
        <w:t xml:space="preserve">het overeenstemmen van het tot stand komen van de financiële beheershandelingen en de vastlegging daarvan met de relevante wet- en regelgeving, zoals bedoeld in het Besluit accountantscontrole gemeenten. </w:t>
      </w:r>
    </w:p>
    <w:p w:rsidR="00E14309" w:rsidRDefault="00E14309" w:rsidP="00E14309">
      <w:pPr>
        <w:numPr>
          <w:ilvl w:val="0"/>
          <w:numId w:val="3"/>
        </w:numPr>
        <w:ind w:left="720" w:hanging="360"/>
        <w:outlineLvl w:val="0"/>
      </w:pPr>
      <w:r>
        <w:rPr>
          <w:b/>
        </w:rPr>
        <w:t>deelverantwoording</w:t>
      </w:r>
      <w:r>
        <w:br/>
        <w:t xml:space="preserve">een in opdracht van de raad ten behoeve van de verslaglegging opgestelde verantwoording van een afzonderlijke organisatie-eenheid binnen de gemeentelijke organisatie, welke verantwoording onderdeel uit maakt van de jaarrekening. </w:t>
      </w:r>
    </w:p>
    <w:p w:rsidR="00E14309" w:rsidRDefault="00EB5A02" w:rsidP="00E14309">
      <w:pPr>
        <w:pStyle w:val="Kop3"/>
      </w:pPr>
      <w:r>
        <w:lastRenderedPageBreak/>
        <w:t>Artikel 2</w:t>
      </w:r>
      <w:r w:rsidR="00E14309">
        <w:t xml:space="preserve"> Opdrachtverlening accountantscontrole</w:t>
      </w:r>
    </w:p>
    <w:p w:rsidR="00E14309" w:rsidRDefault="00E14309" w:rsidP="00E14309">
      <w:pPr>
        <w:numPr>
          <w:ilvl w:val="0"/>
          <w:numId w:val="6"/>
        </w:numPr>
        <w:outlineLvl w:val="0"/>
      </w:pPr>
      <w:r>
        <w:t xml:space="preserve">De accountantscontrole wordt opgedragen aan een door de raad te benoemen accountant. De benoeming van de accountant geschiedt voor een periode van drie jaar met mogelijkheid  van verlenging met één jaar. </w:t>
      </w:r>
    </w:p>
    <w:p w:rsidR="00E14309" w:rsidRDefault="00E14309" w:rsidP="00E14309">
      <w:pPr>
        <w:numPr>
          <w:ilvl w:val="0"/>
          <w:numId w:val="6"/>
        </w:numPr>
        <w:outlineLvl w:val="0"/>
      </w:pPr>
      <w:r>
        <w:t xml:space="preserve">De griffie bereidt in overleg met de raad de aanbesteding van de accountantscontrole voor. </w:t>
      </w:r>
    </w:p>
    <w:p w:rsidR="00E14309" w:rsidRDefault="00E14309" w:rsidP="00E14309">
      <w:pPr>
        <w:numPr>
          <w:ilvl w:val="0"/>
          <w:numId w:val="6"/>
        </w:numPr>
        <w:tabs>
          <w:tab w:val="left" w:pos="709"/>
        </w:tabs>
        <w:outlineLvl w:val="0"/>
      </w:pPr>
      <w:r>
        <w:t xml:space="preserve">De raad stelt voor de aanbesteding van de accountantscontrole het programma van eisen vast. In het programma van eisen worden voor de jaarlijkse accountantscontrole opgenomen: </w:t>
      </w:r>
    </w:p>
    <w:p w:rsidR="00E14309" w:rsidRDefault="00E14309" w:rsidP="00E14309">
      <w:pPr>
        <w:numPr>
          <w:ilvl w:val="1"/>
          <w:numId w:val="5"/>
        </w:numPr>
        <w:tabs>
          <w:tab w:val="left" w:pos="1134"/>
        </w:tabs>
        <w:ind w:left="1134" w:hanging="425"/>
        <w:outlineLvl w:val="1"/>
      </w:pPr>
      <w:r>
        <w:t xml:space="preserve">de toe te passen goedkeuringstoleranties en afwijkende </w:t>
      </w:r>
      <w:proofErr w:type="spellStart"/>
      <w:r>
        <w:t>rapporteringstoleranties</w:t>
      </w:r>
      <w:proofErr w:type="spellEnd"/>
      <w:r>
        <w:t xml:space="preserve"> bij de controle van de jaarrekening; </w:t>
      </w:r>
    </w:p>
    <w:p w:rsidR="00E14309" w:rsidRDefault="00E14309" w:rsidP="00E14309">
      <w:pPr>
        <w:numPr>
          <w:ilvl w:val="1"/>
          <w:numId w:val="5"/>
        </w:numPr>
        <w:tabs>
          <w:tab w:val="left" w:pos="1134"/>
        </w:tabs>
        <w:ind w:left="1134" w:hanging="425"/>
        <w:outlineLvl w:val="1"/>
      </w:pPr>
      <w:r>
        <w:t xml:space="preserve">de eventueel apart te controleren deelverantwoordingen en de daarbij toe te passen </w:t>
      </w:r>
      <w:proofErr w:type="spellStart"/>
      <w:r>
        <w:t>omvangs</w:t>
      </w:r>
      <w:r>
        <w:softHyphen/>
        <w:t>bases</w:t>
      </w:r>
      <w:proofErr w:type="spellEnd"/>
      <w:r>
        <w:t xml:space="preserve"> en goedkeuringstoleranties (en afwijkende </w:t>
      </w:r>
      <w:proofErr w:type="spellStart"/>
      <w:r>
        <w:t>rapporteringstoleranties</w:t>
      </w:r>
      <w:proofErr w:type="spellEnd"/>
      <w:r>
        <w:t>);</w:t>
      </w:r>
    </w:p>
    <w:p w:rsidR="00E14309" w:rsidRDefault="00E14309" w:rsidP="00E14309">
      <w:pPr>
        <w:numPr>
          <w:ilvl w:val="1"/>
          <w:numId w:val="5"/>
        </w:numPr>
        <w:tabs>
          <w:tab w:val="left" w:pos="1134"/>
        </w:tabs>
        <w:ind w:left="1134" w:hanging="425"/>
        <w:outlineLvl w:val="1"/>
      </w:pPr>
      <w:r>
        <w:t xml:space="preserve">de inrichtingseisen voor het verslag van bevindingen; </w:t>
      </w:r>
    </w:p>
    <w:p w:rsidR="00E14309" w:rsidRDefault="00E14309" w:rsidP="00E14309">
      <w:pPr>
        <w:numPr>
          <w:ilvl w:val="1"/>
          <w:numId w:val="5"/>
        </w:numPr>
        <w:tabs>
          <w:tab w:val="left" w:pos="1134"/>
        </w:tabs>
        <w:ind w:left="1134" w:hanging="425"/>
        <w:outlineLvl w:val="1"/>
      </w:pPr>
      <w:r>
        <w:t xml:space="preserve">de eventueel aanvullende uit te voeren tussentijdse controles; </w:t>
      </w:r>
    </w:p>
    <w:p w:rsidR="00E14309" w:rsidRDefault="00E14309" w:rsidP="00E14309">
      <w:pPr>
        <w:numPr>
          <w:ilvl w:val="1"/>
          <w:numId w:val="5"/>
        </w:numPr>
        <w:tabs>
          <w:tab w:val="left" w:pos="1134"/>
        </w:tabs>
        <w:ind w:left="1134" w:hanging="425"/>
        <w:outlineLvl w:val="1"/>
      </w:pPr>
      <w:r>
        <w:t xml:space="preserve">de frequentie en inrichtingseisen van de aanvullende tussentijdse rapportering; en voor ieder afzonderlijk te controleren begrotingsjaar: </w:t>
      </w:r>
    </w:p>
    <w:p w:rsidR="00E14309" w:rsidRDefault="00E14309" w:rsidP="00E14309">
      <w:pPr>
        <w:numPr>
          <w:ilvl w:val="1"/>
          <w:numId w:val="5"/>
        </w:numPr>
        <w:tabs>
          <w:tab w:val="left" w:pos="1134"/>
        </w:tabs>
        <w:ind w:left="1134" w:hanging="425"/>
        <w:outlineLvl w:val="1"/>
      </w:pPr>
      <w:r>
        <w:t xml:space="preserve">de posten van de jaarrekening en deelverantwoordingen met bijbehorende afwijkende </w:t>
      </w:r>
      <w:proofErr w:type="spellStart"/>
      <w:r>
        <w:t>rapporteringstoleranties</w:t>
      </w:r>
      <w:proofErr w:type="spellEnd"/>
      <w:r>
        <w:t xml:space="preserve">, waaraan de accountant bij zijn controle specifiek aandacht dient te besteden; </w:t>
      </w:r>
    </w:p>
    <w:p w:rsidR="00E14309" w:rsidRDefault="00E14309" w:rsidP="00E14309">
      <w:pPr>
        <w:numPr>
          <w:ilvl w:val="1"/>
          <w:numId w:val="5"/>
        </w:numPr>
        <w:tabs>
          <w:tab w:val="left" w:pos="1134"/>
        </w:tabs>
        <w:ind w:left="1134" w:hanging="425"/>
        <w:outlineLvl w:val="1"/>
      </w:pPr>
      <w:r>
        <w:t xml:space="preserve">de gemeentelijke producten en of organisatieonderdelen met bijbehorende afwijkende </w:t>
      </w:r>
      <w:proofErr w:type="spellStart"/>
      <w:r>
        <w:t>rapporteringstoleranties</w:t>
      </w:r>
      <w:proofErr w:type="spellEnd"/>
      <w:r>
        <w:t xml:space="preserve">, waaraan de accountant bij zijn controle specifiek aandacht dient te besteden. </w:t>
      </w:r>
    </w:p>
    <w:p w:rsidR="00E14309" w:rsidRDefault="00E14309" w:rsidP="00E14309">
      <w:pPr>
        <w:numPr>
          <w:ilvl w:val="0"/>
          <w:numId w:val="6"/>
        </w:numPr>
        <w:outlineLvl w:val="0"/>
      </w:pPr>
      <w:r>
        <w:t>In afwijking van het gestelde in lid 3, letters f en g kan de raad in het programma van eisen opnemen, dat de raad jaarlijks voorafgaand aan de accountantscontrole in overleg met de accountant vaststelt de posten van de jaarrekening, de posten van de deelverantwoor</w:t>
      </w:r>
      <w:r>
        <w:softHyphen/>
        <w:t>din</w:t>
      </w:r>
      <w:r>
        <w:softHyphen/>
        <w:t xml:space="preserve">gen, de gemeentelijke producten en de gemeentelijke organisatieonderdelen, waaraan de accountant bij zijn controle specifiek aandacht dient te besteden en welke </w:t>
      </w:r>
      <w:proofErr w:type="spellStart"/>
      <w:r>
        <w:t>rapporteringstole</w:t>
      </w:r>
      <w:r>
        <w:softHyphen/>
        <w:t>ran</w:t>
      </w:r>
      <w:r>
        <w:softHyphen/>
        <w:t>ties</w:t>
      </w:r>
      <w:proofErr w:type="spellEnd"/>
      <w:r>
        <w:t xml:space="preserve"> hij daarbij dient te hanteren. </w:t>
      </w:r>
    </w:p>
    <w:p w:rsidR="00E14309" w:rsidRDefault="00E14309" w:rsidP="00E14309">
      <w:pPr>
        <w:numPr>
          <w:ilvl w:val="0"/>
          <w:numId w:val="6"/>
        </w:numPr>
        <w:outlineLvl w:val="0"/>
      </w:pPr>
      <w:r>
        <w:t xml:space="preserve">In geval van Europese aanbesteding van de accountantscontrole stelt de raad voor de selectie van de accountant de selectiecriteria vast en per selectiecriterium de bijbehorende weging vast. </w:t>
      </w:r>
    </w:p>
    <w:p w:rsidR="00E14309" w:rsidRDefault="00EB5A02" w:rsidP="00E14309">
      <w:pPr>
        <w:pStyle w:val="Kop3"/>
      </w:pPr>
      <w:r>
        <w:t>Artikel 3</w:t>
      </w:r>
      <w:r w:rsidR="00E14309">
        <w:t xml:space="preserve"> Informatieverstrekking door college</w:t>
      </w:r>
    </w:p>
    <w:p w:rsidR="00E14309" w:rsidRDefault="00E14309" w:rsidP="00E14309">
      <w:pPr>
        <w:numPr>
          <w:ilvl w:val="0"/>
          <w:numId w:val="7"/>
        </w:numPr>
        <w:outlineLvl w:val="0"/>
      </w:pPr>
      <w:r>
        <w:t xml:space="preserve">Het college is verantwoordelijk voor de samenstelling van de jaarrekening conform de geldende interne - en externe wet- en regelgeving en overlegt deze aan de accountant voor controle. </w:t>
      </w:r>
    </w:p>
    <w:p w:rsidR="00E14309" w:rsidRDefault="00E14309" w:rsidP="00E14309">
      <w:pPr>
        <w:numPr>
          <w:ilvl w:val="0"/>
          <w:numId w:val="7"/>
        </w:numPr>
        <w:outlineLvl w:val="0"/>
      </w:pPr>
      <w:r>
        <w:t>Het college draagt er zorg voor dat alle aan de jaarrekening ten grondslag liggende veror</w:t>
      </w:r>
      <w:r>
        <w:softHyphen/>
        <w:t>deningen, nota's, collegebesluiten, deelverantwoordingen, administraties, plannen, overeen</w:t>
      </w:r>
      <w:r>
        <w:softHyphen/>
        <w:t xml:space="preserve">komsten, berekeningen e.d. voor de accountant ter inzage liggen en goed toegankelijk zijn. </w:t>
      </w:r>
    </w:p>
    <w:p w:rsidR="00E14309" w:rsidRDefault="00E14309" w:rsidP="00E14309">
      <w:pPr>
        <w:numPr>
          <w:ilvl w:val="0"/>
          <w:numId w:val="7"/>
        </w:numPr>
        <w:outlineLvl w:val="0"/>
      </w:pPr>
      <w:r>
        <w:t xml:space="preserve">Bij de jaarrekening bevestigt het college schriftelijk aan de accountant, dat alle hem bekende informatie van belang voor de oordeelsvorming van de accountant is verstrekt. </w:t>
      </w:r>
    </w:p>
    <w:p w:rsidR="00E14309" w:rsidRDefault="00E14309" w:rsidP="00E14309">
      <w:pPr>
        <w:numPr>
          <w:ilvl w:val="0"/>
          <w:numId w:val="7"/>
        </w:numPr>
        <w:outlineLvl w:val="0"/>
      </w:pPr>
      <w:r>
        <w:t xml:space="preserve">Het college overlegt de gecontroleerde jaarrekening samen met de accountantsverklaring en het verslag van bevindingen uiterlijk 1 juni van elk jaar. </w:t>
      </w:r>
    </w:p>
    <w:p w:rsidR="00E14309" w:rsidRDefault="00E14309" w:rsidP="00E14309">
      <w:pPr>
        <w:numPr>
          <w:ilvl w:val="0"/>
          <w:numId w:val="7"/>
        </w:numPr>
        <w:outlineLvl w:val="0"/>
      </w:pPr>
      <w:r>
        <w:t>Alle informatie die na afgifte van de accountantsverklaring en voor behandeling van de jaar</w:t>
      </w:r>
      <w:r>
        <w:softHyphen/>
        <w:t xml:space="preserve">rekening in de raad beschikbaar komt en die van invloed is op het beeld dat de jaarrekening geeft, wordt terstond door het college aan de raad en de accountant gemeld. </w:t>
      </w:r>
    </w:p>
    <w:p w:rsidR="00E14309" w:rsidRDefault="00EB5A02" w:rsidP="00E14309">
      <w:pPr>
        <w:pStyle w:val="Kop3"/>
      </w:pPr>
      <w:r>
        <w:t>Artikel 4</w:t>
      </w:r>
      <w:r w:rsidR="00E14309">
        <w:t xml:space="preserve"> Inrichting accountantscontrole</w:t>
      </w:r>
    </w:p>
    <w:p w:rsidR="00E14309" w:rsidRDefault="00E14309" w:rsidP="00E14309">
      <w:pPr>
        <w:numPr>
          <w:ilvl w:val="0"/>
          <w:numId w:val="8"/>
        </w:numPr>
        <w:outlineLvl w:val="0"/>
      </w:pPr>
      <w:r>
        <w:t>De accountant bepaalt binnen het kader van de opdrachtverlening de wijze waarop de ac</w:t>
      </w:r>
      <w:r>
        <w:softHyphen/>
        <w:t>coun</w:t>
      </w:r>
      <w:r>
        <w:softHyphen/>
        <w:t>tantscontrole wordt ingericht, alsmede de aard en de omvang van de daarbij behoren</w:t>
      </w:r>
      <w:r>
        <w:softHyphen/>
        <w:t xml:space="preserve">de werkzaamheden. </w:t>
      </w:r>
    </w:p>
    <w:p w:rsidR="00E14309" w:rsidRDefault="00E14309" w:rsidP="00E14309">
      <w:pPr>
        <w:numPr>
          <w:ilvl w:val="0"/>
          <w:numId w:val="8"/>
        </w:numPr>
        <w:outlineLvl w:val="0"/>
      </w:pPr>
      <w:r>
        <w:t>De accountant bepaalt binnen het kader van de opdrachtverlening de frequentie van de uit te voeren controles. De accountant kan de controlewerkzaamheden zonder voorafgaande ken</w:t>
      </w:r>
      <w:r>
        <w:softHyphen/>
        <w:t xml:space="preserve">nisgeving uitvoeren. </w:t>
      </w:r>
    </w:p>
    <w:p w:rsidR="00E14309" w:rsidRDefault="00E14309" w:rsidP="00E14309">
      <w:pPr>
        <w:numPr>
          <w:ilvl w:val="0"/>
          <w:numId w:val="8"/>
        </w:numPr>
        <w:outlineLvl w:val="0"/>
      </w:pPr>
      <w:r>
        <w:lastRenderedPageBreak/>
        <w:t>Ter bevordering van een efficiënte en doeltreffende accountantscontrole vindt periodiek (</w:t>
      </w:r>
      <w:proofErr w:type="spellStart"/>
      <w:r>
        <w:t>afstem</w:t>
      </w:r>
      <w:r>
        <w:softHyphen/>
        <w:t>mings</w:t>
      </w:r>
      <w:proofErr w:type="spellEnd"/>
      <w:r>
        <w:t>-)overleg plaats tussen de accountant en:</w:t>
      </w:r>
    </w:p>
    <w:p w:rsidR="00E14309" w:rsidRDefault="00E14309" w:rsidP="00E14309">
      <w:pPr>
        <w:numPr>
          <w:ilvl w:val="0"/>
          <w:numId w:val="9"/>
        </w:numPr>
        <w:outlineLvl w:val="0"/>
      </w:pPr>
      <w:r>
        <w:t xml:space="preserve">(een vertegenwoordiger uit) de raad, </w:t>
      </w:r>
    </w:p>
    <w:p w:rsidR="00E14309" w:rsidRDefault="00E14309" w:rsidP="00E14309">
      <w:pPr>
        <w:numPr>
          <w:ilvl w:val="0"/>
          <w:numId w:val="9"/>
        </w:numPr>
        <w:outlineLvl w:val="0"/>
      </w:pPr>
      <w:r>
        <w:t>(een vertegenwoordiger van) de rekenkamer(functie),</w:t>
      </w:r>
    </w:p>
    <w:p w:rsidR="00E14309" w:rsidRDefault="00E14309" w:rsidP="00E14309">
      <w:pPr>
        <w:numPr>
          <w:ilvl w:val="0"/>
          <w:numId w:val="9"/>
        </w:numPr>
        <w:outlineLvl w:val="0"/>
      </w:pPr>
      <w:r>
        <w:t>de portefeuillehouder financiën,</w:t>
      </w:r>
    </w:p>
    <w:p w:rsidR="00E14309" w:rsidRDefault="00E14309" w:rsidP="00E14309">
      <w:pPr>
        <w:numPr>
          <w:ilvl w:val="0"/>
          <w:numId w:val="9"/>
        </w:numPr>
        <w:outlineLvl w:val="0"/>
      </w:pPr>
      <w:r>
        <w:t>de gemeentesecretaris of een door hem aan te wijzen ander lid van de directie,</w:t>
      </w:r>
    </w:p>
    <w:p w:rsidR="00E14309" w:rsidRDefault="00E14309" w:rsidP="00E14309">
      <w:pPr>
        <w:numPr>
          <w:ilvl w:val="0"/>
          <w:numId w:val="9"/>
        </w:numPr>
        <w:outlineLvl w:val="0"/>
      </w:pPr>
      <w:r>
        <w:t xml:space="preserve">de (concern-)controller of een door hem aan te wijzen andere functionaris. </w:t>
      </w:r>
    </w:p>
    <w:p w:rsidR="00E14309" w:rsidRDefault="00EB5A02" w:rsidP="00E14309">
      <w:pPr>
        <w:pStyle w:val="Kop3"/>
      </w:pPr>
      <w:r>
        <w:t>Artikel 5</w:t>
      </w:r>
      <w:r w:rsidR="00E14309">
        <w:t xml:space="preserve"> Toegang tot informatie</w:t>
      </w:r>
    </w:p>
    <w:p w:rsidR="00E14309" w:rsidRDefault="00E14309" w:rsidP="00E14309">
      <w:pPr>
        <w:numPr>
          <w:ilvl w:val="0"/>
          <w:numId w:val="10"/>
        </w:numPr>
        <w:outlineLvl w:val="0"/>
      </w:pPr>
      <w:r>
        <w:t>De accountant is bevoegd tot het opnemen van alle kassen, waardepapieren en voorraden en het inzien van alle boeken, notulen, brieven, computerbestanden en overige bescheiden, waarvan hij inzage voor de accountantscontrole nodig oordeelt. Het college draagt er zorg voor dat de accountant voor de uitvoering van zijn controlewerkzaamheden een onbelem</w:t>
      </w:r>
      <w:r>
        <w:softHyphen/>
        <w:t>mer</w:t>
      </w:r>
      <w:r>
        <w:softHyphen/>
        <w:t>de toegang heeft tot alle kantoren, magazijnen, werkplaatsen, terreinen en informatie</w:t>
      </w:r>
      <w:r>
        <w:softHyphen/>
        <w:t xml:space="preserve">dragers van de gemeente. </w:t>
      </w:r>
    </w:p>
    <w:p w:rsidR="00E14309" w:rsidRDefault="00E14309" w:rsidP="00E14309">
      <w:pPr>
        <w:numPr>
          <w:ilvl w:val="0"/>
          <w:numId w:val="10"/>
        </w:numPr>
        <w:outlineLvl w:val="0"/>
      </w:pPr>
      <w:r>
        <w:t xml:space="preserve">De accountant is bevoegd om van alle ambtenaren mondelinge en schriftelijke inlichtingen en verklaringen te verlangen die hij voor de uitvoering van zijn opdracht denkt nodig te hebben. Het college draagt er zorg voor, dat de desbetreffende ambtenaren hieraan hun medewerking verlenen. </w:t>
      </w:r>
    </w:p>
    <w:p w:rsidR="00EB5A02" w:rsidRDefault="00E14309" w:rsidP="00E14309">
      <w:r>
        <w:t>Het college draagt er zorg voor, dat alle organisatie-eenheden van de gemeente zijn gehou</w:t>
      </w:r>
      <w:r>
        <w:softHyphen/>
        <w:t>den de accountant alle informatie te verstrekken, opdat de accountant zich een juist en volle</w:t>
      </w:r>
      <w:r>
        <w:softHyphen/>
        <w:t>dig oordeel kan vormen over de rechtmatige totstandkoming van baten, lasten, balansmuta</w:t>
      </w:r>
      <w:r>
        <w:softHyphen/>
        <w:t>ties en het gevoerde beheer en over de getrouwheid van de daarover verstrekte informatie.</w:t>
      </w:r>
    </w:p>
    <w:p w:rsidR="00E14309" w:rsidRDefault="00E14309" w:rsidP="00E14309">
      <w:pPr>
        <w:pStyle w:val="Kop3"/>
      </w:pPr>
      <w:r>
        <w:t>Artikel 6 Overige controles en opdrachten</w:t>
      </w:r>
    </w:p>
    <w:p w:rsidR="00E14309" w:rsidRDefault="00E14309" w:rsidP="00E14309">
      <w:pPr>
        <w:numPr>
          <w:ilvl w:val="0"/>
          <w:numId w:val="11"/>
        </w:numPr>
        <w:outlineLvl w:val="0"/>
      </w:pPr>
      <w:r>
        <w:t>Het college kan de door de raad benoemde accountant opdracht geven tot het uitvoeren van specifieke werkzaamheden met betrekking tot de rechtmatigheid, de doelmatigheid en de doeltreffendheid voor zover de onafhankelijkheid van de accountant daarmee niet in het geding komt. Het college informeert de raad vooraf over deze aan de accountant te verstrek</w:t>
      </w:r>
      <w:r>
        <w:softHyphen/>
        <w:t xml:space="preserve">ken opdrachten. </w:t>
      </w:r>
    </w:p>
    <w:p w:rsidR="00E14309" w:rsidRDefault="00E14309" w:rsidP="00E14309">
      <w:pPr>
        <w:numPr>
          <w:ilvl w:val="0"/>
          <w:numId w:val="11"/>
        </w:numPr>
        <w:outlineLvl w:val="0"/>
      </w:pPr>
      <w:r>
        <w:t>Het college draagt de zorg voor de uitvoering van het beleid betreffende de specifieke uitke</w:t>
      </w:r>
      <w:r>
        <w:softHyphen/>
        <w:t>ringen volgens de eisen van rechtmatigheid van de ministeries. Het college is voor de contro</w:t>
      </w:r>
      <w:r>
        <w:softHyphen/>
        <w:t xml:space="preserve">le van de rechtmatige besteding van specifieke uitkeringen bevoegd de opdracht te verlenen aan een andere dan de door de raad benoemde accountant, indien dit in het belang van de gemeente is. </w:t>
      </w:r>
    </w:p>
    <w:p w:rsidR="00E14309" w:rsidRDefault="00E14309" w:rsidP="00E14309">
      <w:pPr>
        <w:numPr>
          <w:ilvl w:val="0"/>
          <w:numId w:val="11"/>
        </w:numPr>
        <w:outlineLvl w:val="0"/>
      </w:pPr>
      <w:r>
        <w:t xml:space="preserve">Het college draagt de zorg voor de verantwoording aan derden (Belastingdienst, </w:t>
      </w:r>
      <w:proofErr w:type="spellStart"/>
      <w:r>
        <w:t>ABP</w:t>
      </w:r>
      <w:proofErr w:type="spellEnd"/>
      <w:r>
        <w:t xml:space="preserve">, </w:t>
      </w:r>
      <w:proofErr w:type="spellStart"/>
      <w:r>
        <w:t>UWV</w:t>
      </w:r>
      <w:proofErr w:type="spellEnd"/>
      <w:r>
        <w:t xml:space="preserve">,  Sociale verzekeringsbank, </w:t>
      </w:r>
      <w:proofErr w:type="spellStart"/>
      <w:r>
        <w:t>CBS</w:t>
      </w:r>
      <w:proofErr w:type="spellEnd"/>
      <w:r>
        <w:t xml:space="preserve">, e.d.) en neemt hierbij de gestelde controle-eisen in acht. Indien een deel hiervan moet worden uitgevoerd door een accountant, is het college bevoegd hiervoor de opdracht verlenen aan een andere dan de door de raad benoemde accountant, indien dit in het belang van de gemeente is. </w:t>
      </w:r>
    </w:p>
    <w:p w:rsidR="00E14309" w:rsidRDefault="00E14309" w:rsidP="00E14309">
      <w:pPr>
        <w:pStyle w:val="Kop3"/>
      </w:pPr>
      <w:r>
        <w:t>Artikel 7 Rapportering</w:t>
      </w:r>
    </w:p>
    <w:p w:rsidR="00E14309" w:rsidRDefault="00E14309" w:rsidP="00E14309">
      <w:pPr>
        <w:numPr>
          <w:ilvl w:val="0"/>
          <w:numId w:val="12"/>
        </w:numPr>
        <w:outlineLvl w:val="0"/>
      </w:pPr>
      <w:r>
        <w:t xml:space="preserve">Indien de accountant bij een controle afwijkingen constateert die leiden tot het niet afgeven van een goedkeurende verklaring, meldt hij deze terstond schriftelijk aan de raad en zendt een afschrift hiervan aan het college. </w:t>
      </w:r>
    </w:p>
    <w:p w:rsidR="00E14309" w:rsidRDefault="00E14309" w:rsidP="00E14309">
      <w:pPr>
        <w:numPr>
          <w:ilvl w:val="0"/>
          <w:numId w:val="12"/>
        </w:numPr>
        <w:outlineLvl w:val="0"/>
      </w:pPr>
      <w:r>
        <w:t xml:space="preserve">In aanvulling op het in de wet voorgeschreven verslag van bevindingen brengt de accountant over de door hem uitgevoerde (deel)controles verslag uit over zijn bevindingen van niet van bestuurlijk belang aan de ambtenaar van wie het geldelijk beheer, het vermogensbeheer, de administratie en de beheersdaden zijn gecontroleerd, aan zijn naast hogere leidinggevende en aan de concerncontroller. </w:t>
      </w:r>
    </w:p>
    <w:p w:rsidR="00E14309" w:rsidRDefault="00E14309" w:rsidP="00E14309">
      <w:pPr>
        <w:numPr>
          <w:ilvl w:val="0"/>
          <w:numId w:val="12"/>
        </w:numPr>
        <w:outlineLvl w:val="0"/>
      </w:pPr>
      <w:r>
        <w:t xml:space="preserve">De accountantsverklaring en het verslag van bevindingen worden voor verzending aan de raad door de accountant aan het college voorgelegd met de mogelijkheid voor het college om op deze stukken te reageren. </w:t>
      </w:r>
    </w:p>
    <w:p w:rsidR="00E14309" w:rsidRDefault="00E14309" w:rsidP="00E14309">
      <w:pPr>
        <w:numPr>
          <w:ilvl w:val="0"/>
          <w:numId w:val="12"/>
        </w:numPr>
        <w:outlineLvl w:val="0"/>
      </w:pPr>
      <w:r>
        <w:t xml:space="preserve">De accountant bespreekt voorafgaand aan de raadsbehandeling van de jaarstukken het verslag van bevindingen met (een voor dit doel door de raad ingestelde vertegenwoordiging van) de raad. </w:t>
      </w:r>
    </w:p>
    <w:p w:rsidR="00C314AB" w:rsidRDefault="00E14309" w:rsidP="00C314AB">
      <w:pPr>
        <w:pStyle w:val="Kop3"/>
      </w:pPr>
      <w:r>
        <w:lastRenderedPageBreak/>
        <w:t xml:space="preserve">Artikel 8 </w:t>
      </w:r>
      <w:r w:rsidR="00C314AB">
        <w:t>Inwerkingtreding</w:t>
      </w:r>
    </w:p>
    <w:p w:rsidR="00C314AB" w:rsidRPr="003A0275" w:rsidRDefault="00C314AB" w:rsidP="00C314AB">
      <w:pPr>
        <w:numPr>
          <w:ilvl w:val="0"/>
          <w:numId w:val="13"/>
        </w:numPr>
      </w:pPr>
      <w:r>
        <w:t>Deze verordening treedt in werking per 1 juli 2016, met dien verstande dat zij van toepas</w:t>
      </w:r>
      <w:r>
        <w:softHyphen/>
        <w:t>sing is op de accountantscontrole van de jaarrekening (en deelverantwoordingen) van het verslagjaar 2017 en later. D</w:t>
      </w:r>
      <w:r w:rsidRPr="003A0275">
        <w:rPr>
          <w:rFonts w:ascii="Arial-OneByteIdentityH" w:hAnsi="Arial-OneByteIdentityH" w:cs="Arial-OneByteIdentityH"/>
          <w:szCs w:val="21"/>
        </w:rPr>
        <w:t>e oude</w:t>
      </w:r>
      <w:r>
        <w:t xml:space="preserve"> </w:t>
      </w:r>
      <w:r w:rsidRPr="003A0275">
        <w:rPr>
          <w:rFonts w:ascii="Arial-OneByteIdentityH" w:hAnsi="Arial-OneByteIdentityH" w:cs="Arial-OneByteIdentityH"/>
          <w:szCs w:val="21"/>
        </w:rPr>
        <w:t>Controleverordening van toepassing blijft voor de controle van het boekjaar 2015 en 2016.</w:t>
      </w:r>
    </w:p>
    <w:p w:rsidR="00C314AB" w:rsidRDefault="00C314AB" w:rsidP="00C314AB">
      <w:pPr>
        <w:pStyle w:val="Kop3"/>
      </w:pPr>
      <w:r>
        <w:t>Artikel 9 Citeertitel</w:t>
      </w:r>
    </w:p>
    <w:p w:rsidR="00C314AB" w:rsidRDefault="00C314AB" w:rsidP="00C314AB">
      <w:r>
        <w:t>Deze verordening wordt aangehaald als "Controleverordening gemeente Heerhugowaard 2016".</w:t>
      </w:r>
    </w:p>
    <w:p w:rsidR="00C314AB" w:rsidRPr="00C314AB" w:rsidRDefault="00C314AB" w:rsidP="00C314AB">
      <w:pPr>
        <w:rPr>
          <w:lang w:eastAsia="en-US"/>
        </w:rPr>
      </w:pPr>
    </w:p>
    <w:p w:rsidR="00EB5A02" w:rsidRDefault="00EB5A02" w:rsidP="00EB5A02">
      <w:pPr>
        <w:autoSpaceDE w:val="0"/>
        <w:autoSpaceDN w:val="0"/>
        <w:adjustRightInd w:val="0"/>
        <w:rPr>
          <w:sz w:val="24"/>
        </w:rPr>
      </w:pPr>
    </w:p>
    <w:p w:rsidR="00EB5A02" w:rsidRDefault="00EB5A02" w:rsidP="00EB5A02">
      <w:r>
        <w:t xml:space="preserve">Heerhugowaard, </w:t>
      </w:r>
      <w:r w:rsidR="00E14309">
        <w:t>24 mei 2016</w:t>
      </w:r>
    </w:p>
    <w:p w:rsidR="00EB5A02" w:rsidRDefault="00EB5A02" w:rsidP="00EB5A02"/>
    <w:p w:rsidR="00EB5A02" w:rsidRDefault="00EB5A02" w:rsidP="00EB5A02"/>
    <w:p w:rsidR="00EB5A02" w:rsidRDefault="00EB5A02" w:rsidP="00EB5A02">
      <w:pPr>
        <w:tabs>
          <w:tab w:val="left" w:pos="567"/>
          <w:tab w:val="left" w:pos="1134"/>
          <w:tab w:val="left" w:pos="1418"/>
          <w:tab w:val="left" w:pos="3969"/>
          <w:tab w:val="left" w:pos="5670"/>
        </w:tabs>
        <w:jc w:val="both"/>
      </w:pPr>
      <w:r>
        <w:t>De Raad voornoemd,</w:t>
      </w:r>
    </w:p>
    <w:p w:rsidR="00EB5A02" w:rsidRDefault="00EB5A02" w:rsidP="00EB5A02">
      <w:pPr>
        <w:tabs>
          <w:tab w:val="left" w:pos="567"/>
          <w:tab w:val="left" w:pos="1134"/>
          <w:tab w:val="left" w:pos="1418"/>
          <w:tab w:val="left" w:pos="3969"/>
          <w:tab w:val="left" w:pos="5670"/>
        </w:tabs>
        <w:jc w:val="both"/>
      </w:pPr>
    </w:p>
    <w:p w:rsidR="00EB5A02" w:rsidRDefault="00EB5A02" w:rsidP="00EB5A02">
      <w:pPr>
        <w:tabs>
          <w:tab w:val="left" w:pos="567"/>
          <w:tab w:val="left" w:pos="4111"/>
        </w:tabs>
        <w:jc w:val="both"/>
      </w:pPr>
      <w:r>
        <w:t>de griffier,</w:t>
      </w:r>
      <w:r>
        <w:tab/>
      </w:r>
      <w:r>
        <w:tab/>
        <w:t>de voorzitter,</w:t>
      </w:r>
    </w:p>
    <w:p w:rsidR="00EB5A02" w:rsidRDefault="00EB5A02" w:rsidP="00EB5A02">
      <w:pPr>
        <w:tabs>
          <w:tab w:val="left" w:pos="1276"/>
          <w:tab w:val="left" w:pos="1418"/>
        </w:tabs>
      </w:pPr>
    </w:p>
    <w:p w:rsidR="00412B66" w:rsidRDefault="00412B66"/>
    <w:p w:rsidR="00C314AB" w:rsidRDefault="00C314AB" w:rsidP="00C314AB">
      <w:pPr>
        <w:pStyle w:val="Kop3"/>
      </w:pPr>
      <w:r>
        <w:br w:type="page"/>
      </w:r>
      <w:bookmarkStart w:id="7" w:name="_Toc38945543"/>
      <w:r>
        <w:lastRenderedPageBreak/>
        <w:t>Toelichting op de artikelen</w:t>
      </w:r>
      <w:bookmarkEnd w:id="7"/>
    </w:p>
    <w:p w:rsidR="00C314AB" w:rsidRDefault="00C314AB" w:rsidP="00C314AB">
      <w:pPr>
        <w:spacing w:line="260" w:lineRule="atLeast"/>
      </w:pPr>
    </w:p>
    <w:p w:rsidR="00C314AB" w:rsidRPr="00C314AB" w:rsidRDefault="00C314AB" w:rsidP="00C314AB">
      <w:pPr>
        <w:pStyle w:val="Kop3"/>
      </w:pPr>
      <w:r>
        <w:t xml:space="preserve">Artikel 2. </w:t>
      </w:r>
      <w:r>
        <w:tab/>
        <w:t>Opdrachtverlening accountantscontrole</w:t>
      </w:r>
    </w:p>
    <w:p w:rsidR="00C314AB" w:rsidRDefault="00C314AB" w:rsidP="00C314AB">
      <w:r>
        <w:t>Na afloop van ieder begrotingsjaar moet het college verantwoording afleggen aan de raad over het gevoerde bestuur door overlegging van de jaarrekening en het jaarverslag (artikel 197, lid 1 GW). Voor het overleggen van deze stukken aan de raad moeten de jaarrekening door een bevoegd accoun</w:t>
      </w:r>
      <w:r>
        <w:softHyphen/>
        <w:t>tant zijn gecontroleerd (artikel 197, lid 2 Gemeentewet). De accountant controleert de jaar</w:t>
      </w:r>
      <w:r>
        <w:softHyphen/>
        <w:t xml:space="preserve">rekening in opdracht van de raad. Het is dan ook de raad, die de accountant aanwijst (artikel 213, lid 2 Gemeentewet). </w:t>
      </w:r>
    </w:p>
    <w:p w:rsidR="00C314AB" w:rsidRDefault="00C314AB" w:rsidP="00C314AB"/>
    <w:p w:rsidR="00C314AB" w:rsidRDefault="00C314AB" w:rsidP="00C314AB">
      <w:r>
        <w:t>Een bevoegd accountant voor de controle van de gemeentelijke jaarrekening is een registeraccoun</w:t>
      </w:r>
      <w:r>
        <w:softHyphen/>
        <w:t>tant, een accountant-administratieconsulent met een aantekening in het inschrijvingsregister als be</w:t>
      </w:r>
      <w:r>
        <w:softHyphen/>
        <w:t xml:space="preserve">doeld in het derde lid van artikel 36 Wet op de </w:t>
      </w:r>
      <w:proofErr w:type="spellStart"/>
      <w:r>
        <w:t>Accountant-Administratieconsulenten</w:t>
      </w:r>
      <w:proofErr w:type="spellEnd"/>
      <w:r>
        <w:t xml:space="preserve"> of een organi</w:t>
      </w:r>
      <w:r>
        <w:softHyphen/>
        <w:t>sa</w:t>
      </w:r>
      <w:r>
        <w:softHyphen/>
        <w:t>tie waarin voor de accountantscontrole bevoegde accountants samenwerken. Het zevende lid van artikel 213 Gemeentewet zegt, dat de bevoegde accountant in gemeentelijke dienst kan worden aangesteld. Wel dient dan de benoeming, schorsing en het ontslag van de accountant door de raad te geschieden.</w:t>
      </w:r>
    </w:p>
    <w:p w:rsidR="00C314AB" w:rsidRDefault="00C314AB" w:rsidP="00C314AB"/>
    <w:p w:rsidR="00C314AB" w:rsidRDefault="00C314AB" w:rsidP="00C314AB">
      <w:r>
        <w:t>Artikel 2 van de verordening regelt de opdrachtverlening van de accountantscontrole van de jaarre</w:t>
      </w:r>
      <w:r>
        <w:softHyphen/>
        <w:t>ke</w:t>
      </w:r>
      <w:r>
        <w:softHyphen/>
        <w:t xml:space="preserve">ning. Het eerste lid legt de periode van de verbintenis met de accountant voor de controle van de jaarrekening vast. </w:t>
      </w:r>
    </w:p>
    <w:p w:rsidR="00C314AB" w:rsidRDefault="00C314AB" w:rsidP="00C314AB">
      <w:r>
        <w:t>Het tweede lid regelt dat de raad, daarbij ondersteund door de griffie, verantwoordelijk is voor de uitvoering van de aanbesteding van de accountantscontrole van de jaarrekening. De periode van de verbintenis met de accountant uit het eerste lid impliceert niet dat daarna van accountant wordt gewisseld. De accountant maakt bij de nieuwe aanbesteding wederom kans op de opdracht. Een raad die per periode wil wisselen van con</w:t>
      </w:r>
      <w:r>
        <w:softHyphen/>
        <w:t>trolerend accountant zal hierbij met de aanbesteding rekening moeten houden door de controle</w:t>
      </w:r>
      <w:r>
        <w:softHyphen/>
        <w:t>rend accountant van de afgelopen periode uit te sluiten.</w:t>
      </w:r>
    </w:p>
    <w:p w:rsidR="00C314AB" w:rsidRDefault="00C314AB" w:rsidP="00C314AB"/>
    <w:p w:rsidR="00C314AB" w:rsidRDefault="00C314AB" w:rsidP="00C314AB">
      <w:r>
        <w:t xml:space="preserve">Voor de accountantscontrole geldt het Besluit Accountantscontrole Gemeenten (BAG) dat krachtens het zesde lid van artikel 213 Gemeentewet door de minister is vastgesteld. Dit BAG bevat onder andere regels voor de </w:t>
      </w:r>
      <w:proofErr w:type="spellStart"/>
      <w:r>
        <w:t>omvangsbases</w:t>
      </w:r>
      <w:proofErr w:type="spellEnd"/>
      <w:r>
        <w:t xml:space="preserve"> en goedkeuringstoleranties voor de accountantsverklaring en de </w:t>
      </w:r>
      <w:proofErr w:type="spellStart"/>
      <w:r>
        <w:t>rapporteringstoleranties</w:t>
      </w:r>
      <w:proofErr w:type="spellEnd"/>
      <w:r>
        <w:t xml:space="preserve"> voor het verslag van bevindingen.</w:t>
      </w:r>
    </w:p>
    <w:p w:rsidR="00C314AB" w:rsidRDefault="00C314AB" w:rsidP="00C314AB"/>
    <w:p w:rsidR="00C314AB" w:rsidRDefault="00C314AB" w:rsidP="00C314AB">
      <w:r>
        <w:t xml:space="preserve">Voor de begrippen goedkeuringstolerantie en </w:t>
      </w:r>
      <w:proofErr w:type="spellStart"/>
      <w:r>
        <w:t>rapporteringstolerantie</w:t>
      </w:r>
      <w:proofErr w:type="spellEnd"/>
      <w:r>
        <w:t xml:space="preserve"> en de mogelijkheden die de raad daarmee heeft wordt hier verwezen naar bijgaand raadsvoorstel. In het derde lid van artikel 2 wordt invulling gegeven aan het gebruik van de mogelijkheden van de raad met betrekking tot de nadere bepaling van de toleranties. Ze moeten al bij de aanbesteding van de accountantscontrole worden bepaald en zodoende worden opgenomen in het programma van eisen. Een aanscherping van de eisen door de raad zal in veel gevallen leiden tot een hogere prijsstelling door de accoun</w:t>
      </w:r>
      <w:r>
        <w:softHyphen/>
        <w:t>tant(s). Daarnaast zijn onder dit lid aanvullende zaken opgenomen over eisen die de raad kan stel</w:t>
      </w:r>
      <w:r>
        <w:softHyphen/>
        <w:t>len aan de werkzaamheden van de accountant, zoals aanvullende  inrichtingseisen voor het verslag van bevindingen en aanvullende extra rapportages en controles.</w:t>
      </w:r>
    </w:p>
    <w:p w:rsidR="00C314AB" w:rsidRDefault="00C314AB" w:rsidP="00C314AB"/>
    <w:p w:rsidR="00C314AB" w:rsidRDefault="00C314AB" w:rsidP="00C314AB">
      <w:r>
        <w:t>Mogelijk wilt u onderdelen van de jaarrekening, onderdelen van deelverantwoordingen of gemeente</w:t>
      </w:r>
      <w:r>
        <w:softHyphen/>
        <w:t>lijke organisatieonderdelen per jaar vaststellen. omdat u rekening wilt houden met gewijzigde (bestuurlijke) omstandigheden. Hierin voorziet het vierde lid van artikel 2. Het is raadzaam om ook  hierover bepalingen in het programma van eisen bij de aanbesteding en opdrachtverlening op te nemen.</w:t>
      </w:r>
    </w:p>
    <w:p w:rsidR="00C314AB" w:rsidRDefault="00C314AB" w:rsidP="00C314AB">
      <w:pPr>
        <w:spacing w:line="260" w:lineRule="atLeast"/>
      </w:pPr>
    </w:p>
    <w:p w:rsidR="00C314AB" w:rsidRPr="00C314AB" w:rsidRDefault="00C314AB" w:rsidP="00C314AB">
      <w:pPr>
        <w:pStyle w:val="Kop3"/>
      </w:pPr>
      <w:r>
        <w:t xml:space="preserve">Artikel 3. </w:t>
      </w:r>
      <w:r>
        <w:tab/>
        <w:t>Informatieverstrekking door college</w:t>
      </w:r>
    </w:p>
    <w:p w:rsidR="00C314AB" w:rsidRDefault="00C314AB" w:rsidP="00C314AB">
      <w:r>
        <w:t xml:space="preserve">In de nieuwe verhoudingen is het college verantwoordelijk voor de samenstelling van de rekening en het jaarverslag. Ten opzichte van de raad is het college ook verantwoordelijk voor de </w:t>
      </w:r>
      <w:r>
        <w:lastRenderedPageBreak/>
        <w:t>samenstelling van eventuele door de raad geëiste deelverantwoordingen. Artikel 3 van de verordening regelt de ver</w:t>
      </w:r>
      <w:r>
        <w:softHyphen/>
        <w:t>plichtingen van het college voor de verstrekking van de achterliggende informatie aan de accoun</w:t>
      </w:r>
      <w:r>
        <w:softHyphen/>
        <w:t>tant. Voor de controle van de jaarrekening doet de accountant onderzoek naar de achterliggende be</w:t>
      </w:r>
      <w:r>
        <w:softHyphen/>
        <w:t>schei</w:t>
      </w:r>
      <w:r>
        <w:softHyphen/>
        <w:t xml:space="preserve">den. </w:t>
      </w:r>
    </w:p>
    <w:p w:rsidR="00C314AB" w:rsidRDefault="00C314AB" w:rsidP="00C314AB">
      <w:r>
        <w:t>Het tweede lid draagt aan het college op deze achterliggende bescheiden goed toegan</w:t>
      </w:r>
      <w:r>
        <w:softHyphen/>
        <w:t>ke</w:t>
      </w:r>
      <w:r>
        <w:softHyphen/>
        <w:t>lijk ter inzage aan de accountant beschikbaar te stellen.</w:t>
      </w:r>
    </w:p>
    <w:p w:rsidR="00C314AB" w:rsidRDefault="00C314AB" w:rsidP="00C314AB">
      <w:r>
        <w:t>Het derde lid verplicht het college een verklaring af te geven aan de accountant, waarin wordt ver</w:t>
      </w:r>
      <w:r>
        <w:softHyphen/>
        <w:t>klaard dat geen informatie die van belang is voor de beoordeling van de jaarrekening, is achterge</w:t>
      </w:r>
      <w:r>
        <w:softHyphen/>
        <w:t>hou</w:t>
      </w:r>
      <w:r>
        <w:softHyphen/>
        <w:t xml:space="preserve">den. De verklaring wordt ook wel een LOR (Letter Of </w:t>
      </w:r>
      <w:proofErr w:type="spellStart"/>
      <w:r>
        <w:t>Representation</w:t>
      </w:r>
      <w:proofErr w:type="spellEnd"/>
      <w:r>
        <w:t>) genoemd. Hoewel het een algemeen gebruik is, is het geen wettelijke verplichting dat het college een dergelijke verklaring verstrekt.</w:t>
      </w:r>
    </w:p>
    <w:p w:rsidR="00C314AB" w:rsidRDefault="00C314AB" w:rsidP="00C314AB">
      <w:r>
        <w:t>In het vierde lid wordt een uiterlijke datum aan het college gesteld voor de overlegging van de gecon</w:t>
      </w:r>
      <w:r>
        <w:softHyphen/>
        <w:t>troleerde jaarrekening aan de raad. Tussen 1 juni en 1 juli is er dan het traject van commissie – en raadsbehandeling.  De jaarrekening moet namelijk binnen twee weken na vaststelling, maar in elk geval voor 15 juli worden toegezonden aan Gedeputeerde Staten (artikel 200 Gemeentewet). Bij voorkeur voor 1 juli moet de jaarrekening door de raad zijn behandeld en moet een eventuele erop volgende indemniteitsprocedure (artikel 198 Gemeentewet) zijn doorlopen en de jaarrekening wel of niet zijn vastgesteld.</w:t>
      </w:r>
    </w:p>
    <w:p w:rsidR="00C314AB" w:rsidRDefault="00C314AB" w:rsidP="00C314AB"/>
    <w:p w:rsidR="00C314AB" w:rsidRPr="0094433C" w:rsidRDefault="00C314AB" w:rsidP="00C314AB">
      <w:r>
        <w:t>De accountant verzendt de accountantsverklaring en het verslag van bevindingen rechtstreeks aan de raad. Het tweede lid van artikel 197 Gemeentewet bepaalt echter, dat het college bij de overleg</w:t>
      </w:r>
      <w:r>
        <w:softHyphen/>
        <w:t xml:space="preserve">ging van de jaarrekening en het jaarverslag aan de raad, </w:t>
      </w:r>
      <w:r w:rsidRPr="0094433C">
        <w:t>de accountantsver</w:t>
      </w:r>
      <w:r w:rsidRPr="0094433C">
        <w:softHyphen/>
        <w:t>kla</w:t>
      </w:r>
      <w:r w:rsidRPr="0094433C">
        <w:softHyphen/>
        <w:t>ring en het verslag van bevindingen moet toevoegen.</w:t>
      </w:r>
    </w:p>
    <w:p w:rsidR="00C314AB" w:rsidRDefault="00C314AB" w:rsidP="00C314AB"/>
    <w:p w:rsidR="00C314AB" w:rsidRDefault="00C314AB" w:rsidP="00C314AB">
      <w:r>
        <w:t>Het vijfde lid van het artikel gebiedt het college alle informatie die van invloed is op het beeld van de jaarrekening en pas na de afgifte van de accountantsverklaring, maar voor de vaststelling van de jaarrekening door de raad aan het college bekend is geworden, terstond te melden aan de raad en de accountant. Het sluit verrassingen tijdens de raadsbehandeling uit.</w:t>
      </w:r>
    </w:p>
    <w:p w:rsidR="00C314AB" w:rsidRDefault="00C314AB" w:rsidP="00C314AB"/>
    <w:p w:rsidR="00C314AB" w:rsidRPr="00C314AB" w:rsidRDefault="00C314AB" w:rsidP="00C314AB">
      <w:pPr>
        <w:pStyle w:val="Kop3"/>
      </w:pPr>
      <w:r>
        <w:t xml:space="preserve">Artikel 4. </w:t>
      </w:r>
      <w:r>
        <w:tab/>
        <w:t>Uitvoering controle</w:t>
      </w:r>
    </w:p>
    <w:p w:rsidR="00C314AB" w:rsidRDefault="00C314AB" w:rsidP="00C314AB">
      <w:pPr>
        <w:rPr>
          <w:lang w:val="nl"/>
        </w:rPr>
      </w:pPr>
      <w:r>
        <w:rPr>
          <w:lang w:val="nl"/>
        </w:rPr>
        <w:t>Artikel 4</w:t>
      </w:r>
      <w:r>
        <w:rPr>
          <w:b/>
          <w:lang w:val="nl"/>
        </w:rPr>
        <w:t xml:space="preserve"> </w:t>
      </w:r>
      <w:r>
        <w:rPr>
          <w:lang w:val="nl"/>
        </w:rPr>
        <w:t>van de verordening  regelt de bevoegdheidsverdeling tussen de accountant en het college ten aanzien van de inrichting van de accountantscontrole. De accountant is leidend ten aanzien van de inrichting van de accountantscontrole. Hij mag zelfs onaangekondigd controles uitvoeren. Het col</w:t>
      </w:r>
      <w:r>
        <w:rPr>
          <w:lang w:val="nl"/>
        </w:rPr>
        <w:softHyphen/>
        <w:t>lege is hierin volgend. Wel moet er ter bevordering van een soepele accountantscontrole perio</w:t>
      </w:r>
      <w:r>
        <w:rPr>
          <w:lang w:val="nl"/>
        </w:rPr>
        <w:softHyphen/>
        <w:t>diek overleg worden gevoerd tussen de accountant en de verschillende vertegenwoordigers van de gemeente. Ook is uitwisseling van informatie gewenst over specifieke aandachtsgebieden bij de controle.</w:t>
      </w:r>
    </w:p>
    <w:p w:rsidR="00C314AB" w:rsidRDefault="00C314AB" w:rsidP="00C314AB">
      <w:pPr>
        <w:pStyle w:val="Koptekst"/>
        <w:spacing w:line="260" w:lineRule="atLeast"/>
        <w:rPr>
          <w:sz w:val="20"/>
          <w:lang w:val="nl"/>
        </w:rPr>
      </w:pPr>
    </w:p>
    <w:p w:rsidR="00C314AB" w:rsidRDefault="00C314AB" w:rsidP="00C314AB">
      <w:pPr>
        <w:pStyle w:val="Kop3"/>
      </w:pPr>
      <w:r>
        <w:t xml:space="preserve">Artikel 5. </w:t>
      </w:r>
      <w:r>
        <w:tab/>
        <w:t>Toegang tot informatie</w:t>
      </w:r>
    </w:p>
    <w:p w:rsidR="00C314AB" w:rsidRDefault="00C314AB" w:rsidP="00C314AB">
      <w:r>
        <w:t>In het vorige artikel staat dat de accountant leidend is voor wat betreft de inrichting van de controle. Om die controle goed uit te voeren moet hij echter ook onbelemmerd onderzoek kunnen doen. Artikel 5 van de verordening kent de bevoegdheid om dat te doen toe aan de accountant, dit met in achtneming van de afspraken met de raad, zoals neergelegd in het programma van eisen bij de aanbesteding.</w:t>
      </w:r>
    </w:p>
    <w:p w:rsidR="00C314AB" w:rsidRDefault="00C314AB" w:rsidP="00C314AB">
      <w:r>
        <w:t>Het artikel legt aan het college de plicht op om er voor te zorgen, dat de accountant een onbelem</w:t>
      </w:r>
      <w:r>
        <w:softHyphen/>
        <w:t>merde toegang heeft tot alle burelen van de gemeente en dat alle ambtenaren van de gemeente volledig meewerken aan de accountantscontrole.</w:t>
      </w:r>
    </w:p>
    <w:p w:rsidR="00C314AB" w:rsidRDefault="00C314AB" w:rsidP="00C314AB">
      <w:pPr>
        <w:pStyle w:val="Kop1"/>
      </w:pPr>
    </w:p>
    <w:p w:rsidR="00C314AB" w:rsidRPr="00C314AB" w:rsidRDefault="00C314AB" w:rsidP="00C314AB">
      <w:pPr>
        <w:pStyle w:val="Kop3"/>
      </w:pPr>
      <w:r>
        <w:t xml:space="preserve">Artikel 6. </w:t>
      </w:r>
      <w:r>
        <w:tab/>
        <w:t>Overige controles en opdrachten</w:t>
      </w:r>
    </w:p>
    <w:p w:rsidR="00C314AB" w:rsidRDefault="00C314AB" w:rsidP="00C314AB">
      <w:r>
        <w:t xml:space="preserve">Naast de controle van de jaarrekening zijn er meer werkzaamheden binnen de gemeente die de inzet van een accountant (kunnen) vereisen. Zo eisen ministeries voor de verantwoording over de uitvoering van de medebewindstaken door gemeenten (specifieke uitkeringen) vaak een aparte accountantsverklaring. De aanwijzing van de accountant voor onder andere dit soort controles is </w:t>
      </w:r>
      <w:r>
        <w:lastRenderedPageBreak/>
        <w:t>een bevoegdheid van het college. Ook kan het college besluiten om advieswerkzaamheden uit te beste</w:t>
      </w:r>
      <w:r>
        <w:softHyphen/>
        <w:t>den aan de door de raad benoemde accountant. Het betreft hier vanzelfsprekend werkzaam</w:t>
      </w:r>
      <w:r>
        <w:softHyphen/>
        <w:t>heden die samenhangen met de natuurlijke adviesfunctie van de accountant en die de onafhankelijkheid van de accountant niet in gevaar brengen.</w:t>
      </w:r>
    </w:p>
    <w:p w:rsidR="00C314AB" w:rsidRDefault="00C314AB" w:rsidP="00C314AB"/>
    <w:p w:rsidR="00C314AB" w:rsidRDefault="00C314AB" w:rsidP="00C314AB">
      <w:r>
        <w:t>Het eerste lid van artikel 6 van de verordening regelt hoe het college moet omgaan met de uitbe</w:t>
      </w:r>
      <w:r>
        <w:softHyphen/>
        <w:t>steding van “advieswerkzaamheden” zoals de verbetering van de administratieve organisatie, aan de door de raad benoemde accountant. Door deze werkzaamheden te gunnen aan de door de raad benoemde accountant kan de onafhankelijkheid en daarmee de integriteit van de accountant ten aan</w:t>
      </w:r>
      <w:r>
        <w:softHyphen/>
        <w:t>zien van zijn controlewerkzaamheden voor de raad in het geding komen. Op de loer liggende belangenverstrengeling tussen college en accountant kan mogelijk een weerslag hebben op de kwaliteit van de controle van de jaarrekening. Hetzelfde geldt voor die gevallen waarbij de accoun</w:t>
      </w:r>
      <w:r>
        <w:softHyphen/>
        <w:t xml:space="preserve">tant bij de controle zijn eigen werk moet controleren. </w:t>
      </w:r>
    </w:p>
    <w:p w:rsidR="00C314AB" w:rsidRDefault="00C314AB" w:rsidP="00C314AB">
      <w:r>
        <w:t>Het lid bepaalt, dat het college voor advies</w:t>
      </w:r>
      <w:r>
        <w:softHyphen/>
        <w:t xml:space="preserve">werkzaamheden, zoals bijvoorbeeld op het gebied van de bestuurlijke informatieverzorging of de rechtmatigheid, de door de raad benoemde accountant kan inschakelen. Indien het college dit voornemen heeft, dient hij de raad hier vooraf over te informeren. Dit biedt de raad de mogelijkheid om over de desbetreffende uitbesteding van werkzaamheden zijn oordeel te vormen en zijn bedenkingen aan het college kenbaar te maken. </w:t>
      </w:r>
    </w:p>
    <w:p w:rsidR="00C314AB" w:rsidRDefault="00C314AB" w:rsidP="00C314AB"/>
    <w:p w:rsidR="00C314AB" w:rsidRDefault="00C314AB" w:rsidP="00C314AB">
      <w:r>
        <w:t>Het tweede en het derde lid regelen, dat het college voor de overige controlewerkzaamheden in het algemeen de door de raad benoemde accountant inschakelt. Het college mag hiervan afwijken in</w:t>
      </w:r>
      <w:r>
        <w:softHyphen/>
        <w:t xml:space="preserve">dien dit in het belang van de gemeente is. De accountant die de jaarrekening controleert, is vaak beter bekend met de gemeentelijke administraties. Daarbij kunnen controles van de jaarrekening en controles van medebewindstaken tegelijkertijd door één accountant worden uitgevoerd (single audit). Dit levert een aanzienlijke besparing op. </w:t>
      </w:r>
    </w:p>
    <w:p w:rsidR="00C314AB" w:rsidRDefault="00C314AB" w:rsidP="00C314AB">
      <w:r>
        <w:t>In bepaalde gevallen is inschakeling van een andere accountant raadzaam en soms zelfs onover</w:t>
      </w:r>
      <w:r>
        <w:softHyphen/>
        <w:t>komelijk. De reden hiervoor kan van prijstechnische aard zijn, maar ook van bijvoorbeeld organisa</w:t>
      </w:r>
      <w:r>
        <w:softHyphen/>
        <w:t>torische aard (zo kunnen de controlewerkzaamheden gemeenschappelijke activiteiten met een andere gemeente betreffen en kan de controle hiervan door de accountant van de andere gemeente worden uitgevoerd). De verordening regelt dat het college in deze gevallen vrij is in de keuze van de accountant.</w:t>
      </w:r>
    </w:p>
    <w:p w:rsidR="00C314AB" w:rsidRDefault="00C314AB" w:rsidP="00C314AB">
      <w:pPr>
        <w:pStyle w:val="Plattetekst"/>
        <w:pBdr>
          <w:top w:val="none" w:sz="0" w:space="0" w:color="auto"/>
          <w:left w:val="none" w:sz="0" w:space="0" w:color="auto"/>
          <w:bottom w:val="none" w:sz="0" w:space="0" w:color="auto"/>
          <w:right w:val="none" w:sz="0" w:space="0" w:color="auto"/>
        </w:pBdr>
        <w:spacing w:line="260" w:lineRule="atLeast"/>
      </w:pPr>
    </w:p>
    <w:p w:rsidR="00C314AB" w:rsidRPr="00C314AB" w:rsidRDefault="00C314AB" w:rsidP="00C314AB">
      <w:pPr>
        <w:pStyle w:val="Kop3"/>
      </w:pPr>
      <w:r>
        <w:t xml:space="preserve">Artikel 7. </w:t>
      </w:r>
      <w:r>
        <w:tab/>
        <w:t>Rapportering</w:t>
      </w:r>
    </w:p>
    <w:p w:rsidR="00C314AB" w:rsidRDefault="00C314AB" w:rsidP="00C314AB">
      <w:r>
        <w:t>Het derde en vierde lid van artikel 213 Gemeentewet regelt de rapportering en de inhoud daarvan van de accountant aan de raad en het college. Aanvullend daarop kan de raad in zijn programma van eisen bij de aanbesteding aanvullende inhoudelijke eisen stellen, maar ook aanvullende rappor</w:t>
      </w:r>
      <w:r>
        <w:softHyphen/>
        <w:t>teringen van de accountant verlangen (artikel 2, lid 3, letters c &amp; e van deze verordening). Ook wor</w:t>
      </w:r>
      <w:r>
        <w:softHyphen/>
        <w:t>den aanvullende zaken aangaande de rapportering op grond van de door de accountant uitgevoerde controles hier geregeld. Dit moeten wel zaken zijn die in het programma van eisen bij de aanbeste</w:t>
      </w:r>
      <w:r>
        <w:softHyphen/>
        <w:t>ding moeten worden geregeld.</w:t>
      </w:r>
    </w:p>
    <w:p w:rsidR="00C314AB" w:rsidRDefault="00C314AB" w:rsidP="00C314AB">
      <w:pPr>
        <w:pStyle w:val="Koptekst"/>
        <w:tabs>
          <w:tab w:val="clear" w:pos="4536"/>
          <w:tab w:val="clear" w:pos="9072"/>
        </w:tabs>
      </w:pPr>
    </w:p>
    <w:p w:rsidR="00C314AB" w:rsidRDefault="00C314AB" w:rsidP="00C314AB">
      <w:r>
        <w:t xml:space="preserve">Naast de uiteindelijke eindcontrole van de jaarrekening verricht de accountant meestal meerdere controles. Dit kunnen door de raad in het programma van eisen van de aanbesteding opgenomen tussentijdse controles (interim-controles) zijn. </w:t>
      </w:r>
    </w:p>
    <w:p w:rsidR="00C314AB" w:rsidRDefault="00C314AB" w:rsidP="00C314AB">
      <w:r>
        <w:t>Het eerste lid van artikel 7 regelt, dat het college in elk geval bij geconstateerde afwijkingen door de accountant die leiden tot het niet afgeven van een goedkeurende verklaring bij de jaarrekening, een afschrift krijgt van de schriftelijke mededeling hierover aan de raad. Zo mogelijk kan het college (in overleg met de raad en de accountant) nog tijdig maatregelen tot herstel treffen.</w:t>
      </w:r>
    </w:p>
    <w:p w:rsidR="00C314AB" w:rsidRDefault="00C314AB" w:rsidP="00C314AB">
      <w:pPr>
        <w:pStyle w:val="Plattetekst"/>
        <w:pBdr>
          <w:top w:val="none" w:sz="0" w:space="0" w:color="auto"/>
          <w:left w:val="none" w:sz="0" w:space="0" w:color="auto"/>
          <w:bottom w:val="none" w:sz="0" w:space="0" w:color="auto"/>
          <w:right w:val="none" w:sz="0" w:space="0" w:color="auto"/>
        </w:pBdr>
        <w:spacing w:line="260" w:lineRule="atLeast"/>
      </w:pPr>
    </w:p>
    <w:p w:rsidR="00C314AB" w:rsidRDefault="00C314AB" w:rsidP="00C314AB">
      <w:r>
        <w:t>Het tweede lid van artikel 7 regelt dat het management een rapportage krijgt van de door de accoun</w:t>
      </w:r>
      <w:r>
        <w:softHyphen/>
        <w:t xml:space="preserve">tant uitgevoerde (deel)controles. In deze rapportage worden kleine afwijkingen en tekortkomingen die niet leiden tot het niet afgeven van een goedkeurende verklaring en niet van bestuurlijk belang zijn, aan het management meegedeeld. Het gaat hierbij om bijvoorbeeld opmerkingen over (kleine) rubriceringfouten en (kleine) onvolkomenheden in de administratieve organisatie, die eenvoudig in onderling overleg met het management van de gemeente kunnen </w:t>
      </w:r>
      <w:r>
        <w:lastRenderedPageBreak/>
        <w:t>worden opgelost. Er kan op grond van de rapportage actie worden ondernomen voor herstel van de afwijkingen en onvolkomenheden.</w:t>
      </w:r>
    </w:p>
    <w:p w:rsidR="00C314AB" w:rsidRDefault="00C314AB" w:rsidP="00C314AB"/>
    <w:p w:rsidR="00C314AB" w:rsidRDefault="00C314AB" w:rsidP="00C314AB">
      <w:r>
        <w:t>Voorts is in het artikel een lid opgenomen voor de procedure van hoor en wederhoor. De constate</w:t>
      </w:r>
      <w:r>
        <w:softHyphen/>
        <w:t>rin</w:t>
      </w:r>
      <w:r>
        <w:softHyphen/>
        <w:t>gen in het verslag van bevindingen worden voorafgaand aan verzending van de accountants</w:t>
      </w:r>
      <w:r>
        <w:softHyphen/>
        <w:t>ver</w:t>
      </w:r>
      <w:r>
        <w:softHyphen/>
        <w:t>klaring en het verslag van bevindingen aan de raad door de accountant besproken met het college. Het geeft het college de mogelijkheid kanttekeningen te plaatsen bij de constateringen in het (concept-)verslag van bevindingen.</w:t>
      </w:r>
    </w:p>
    <w:p w:rsidR="00C314AB" w:rsidRDefault="00C314AB" w:rsidP="00C314AB"/>
    <w:p w:rsidR="00C314AB" w:rsidRDefault="00C314AB" w:rsidP="00C314AB">
      <w:r>
        <w:t>Tot slot in het vierde lid van dit artikel opgenomen, dat de accountant zijn verslag van bevindingen aan de raad mondeling toelicht.</w:t>
      </w:r>
    </w:p>
    <w:p w:rsidR="00C314AB" w:rsidRDefault="00C314AB"/>
    <w:sectPr w:rsidR="00C314AB" w:rsidSect="009F3FD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4B" w:rsidRDefault="00ED344B" w:rsidP="00EB5A02">
      <w:r>
        <w:separator/>
      </w:r>
    </w:p>
  </w:endnote>
  <w:endnote w:type="continuationSeparator" w:id="0">
    <w:p w:rsidR="00ED344B" w:rsidRDefault="00ED344B" w:rsidP="00EB5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02" w:rsidRDefault="00EB5A0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02" w:rsidRDefault="00EB5A0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02" w:rsidRDefault="00EB5A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4B" w:rsidRDefault="00ED344B" w:rsidP="00EB5A02">
      <w:r>
        <w:separator/>
      </w:r>
    </w:p>
  </w:footnote>
  <w:footnote w:type="continuationSeparator" w:id="0">
    <w:p w:rsidR="00ED344B" w:rsidRDefault="00ED344B" w:rsidP="00EB5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02" w:rsidRDefault="00EB5A0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02" w:rsidRDefault="00EB5A0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02" w:rsidRDefault="00EB5A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75E5366"/>
    <w:multiLevelType w:val="multilevel"/>
    <w:tmpl w:val="5214489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E7F4E74"/>
    <w:multiLevelType w:val="multilevel"/>
    <w:tmpl w:val="A050B35A"/>
    <w:lvl w:ilvl="0">
      <w:start w:val="1"/>
      <w:numFmt w:val="lowerLetter"/>
      <w:lvlText w:val="%1."/>
      <w:lvlJc w:val="left"/>
      <w:pPr>
        <w:tabs>
          <w:tab w:val="num" w:pos="1069"/>
        </w:tabs>
        <w:ind w:left="1069"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1928432F"/>
    <w:multiLevelType w:val="singleLevel"/>
    <w:tmpl w:val="0409000F"/>
    <w:lvl w:ilvl="0">
      <w:start w:val="1"/>
      <w:numFmt w:val="decimal"/>
      <w:lvlText w:val="%1."/>
      <w:lvlJc w:val="left"/>
      <w:pPr>
        <w:tabs>
          <w:tab w:val="num" w:pos="360"/>
        </w:tabs>
        <w:ind w:left="360" w:hanging="360"/>
      </w:pPr>
    </w:lvl>
  </w:abstractNum>
  <w:abstractNum w:abstractNumId="11">
    <w:nsid w:val="271E70CB"/>
    <w:multiLevelType w:val="multilevel"/>
    <w:tmpl w:val="5214489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55DF245A"/>
    <w:multiLevelType w:val="hybridMultilevel"/>
    <w:tmpl w:val="A3708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0"/>
    <w:lvlOverride w:ilvl="0">
      <w:lvl w:ilvl="0">
        <w:numFmt w:val="bullet"/>
        <w:lvlText w:val=""/>
        <w:legacy w:legacy="1" w:legacySpace="0" w:legacyIndent="360"/>
        <w:lvlJc w:val="left"/>
        <w:pPr>
          <w:ind w:left="1440" w:hanging="360"/>
        </w:pPr>
        <w:rPr>
          <w:rFonts w:ascii="Symbol" w:hAnsi="Symbol" w:hint="default"/>
        </w:rPr>
      </w:lvl>
    </w:lvlOverride>
  </w:num>
  <w:num w:numId="5">
    <w:abstractNumId w:val="2"/>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4AB"/>
    <w:rsid w:val="001F4CDA"/>
    <w:rsid w:val="00255426"/>
    <w:rsid w:val="00271FFD"/>
    <w:rsid w:val="00412B66"/>
    <w:rsid w:val="004326F9"/>
    <w:rsid w:val="004B365B"/>
    <w:rsid w:val="00533378"/>
    <w:rsid w:val="00922069"/>
    <w:rsid w:val="009F3FD3"/>
    <w:rsid w:val="00C314AB"/>
    <w:rsid w:val="00E14309"/>
    <w:rsid w:val="00EB5A02"/>
    <w:rsid w:val="00ED344B"/>
    <w:rsid w:val="00F3786B"/>
    <w:rsid w:val="00F4545E"/>
    <w:rsid w:val="00FF699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FD3"/>
    <w:rPr>
      <w:rFonts w:ascii="Arial" w:hAnsi="Arial" w:cs="Arial"/>
      <w:snapToGrid w:val="0"/>
      <w:color w:val="000000"/>
      <w:sz w:val="21"/>
    </w:rPr>
  </w:style>
  <w:style w:type="paragraph" w:styleId="Kop1">
    <w:name w:val="heading 1"/>
    <w:basedOn w:val="Standaard"/>
    <w:next w:val="Standaard"/>
    <w:qFormat/>
    <w:rsid w:val="009F3FD3"/>
    <w:pPr>
      <w:keepNext/>
      <w:outlineLvl w:val="0"/>
    </w:pPr>
    <w:rPr>
      <w:b/>
      <w:bCs/>
      <w:sz w:val="24"/>
    </w:rPr>
  </w:style>
  <w:style w:type="paragraph" w:styleId="Kop2">
    <w:name w:val="heading 2"/>
    <w:basedOn w:val="Standaard"/>
    <w:next w:val="Standaard"/>
    <w:link w:val="Kop2Char"/>
    <w:uiPriority w:val="9"/>
    <w:semiHidden/>
    <w:unhideWhenUsed/>
    <w:qFormat/>
    <w:rsid w:val="00412B66"/>
    <w:pPr>
      <w:keepNext/>
      <w:spacing w:before="240" w:after="60"/>
      <w:outlineLvl w:val="1"/>
    </w:pPr>
    <w:rPr>
      <w:rFonts w:ascii="Cambria" w:hAnsi="Cambria" w:cs="Times New Roman"/>
      <w:b/>
      <w:bCs/>
      <w:i/>
      <w:iCs/>
      <w:sz w:val="28"/>
      <w:szCs w:val="28"/>
    </w:rPr>
  </w:style>
  <w:style w:type="paragraph" w:styleId="Kop3">
    <w:name w:val="heading 3"/>
    <w:basedOn w:val="Standaard"/>
    <w:next w:val="Standaard"/>
    <w:qFormat/>
    <w:rsid w:val="009F3FD3"/>
    <w:pPr>
      <w:keepNext/>
      <w:spacing w:before="240" w:after="60" w:line="280" w:lineRule="atLeast"/>
      <w:outlineLvl w:val="2"/>
    </w:pPr>
    <w:rPr>
      <w:rFonts w:cs="Times New Roman"/>
      <w:b/>
      <w:snapToGrid/>
      <w:color w:val="auto"/>
      <w:sz w:val="24"/>
      <w:lang w:eastAsia="en-US"/>
    </w:rPr>
  </w:style>
  <w:style w:type="paragraph" w:styleId="Kop5">
    <w:name w:val="heading 5"/>
    <w:basedOn w:val="Standaard"/>
    <w:next w:val="Standaard"/>
    <w:link w:val="Kop5Char"/>
    <w:uiPriority w:val="9"/>
    <w:unhideWhenUsed/>
    <w:qFormat/>
    <w:rsid w:val="00E14309"/>
    <w:pPr>
      <w:spacing w:before="240" w:after="60"/>
      <w:outlineLvl w:val="4"/>
    </w:pPr>
    <w:rPr>
      <w:rFonts w:asciiTheme="minorHAnsi" w:eastAsiaTheme="minorEastAsia" w:hAnsiTheme="minorHAnsi" w:cstheme="minorBid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12B66"/>
    <w:rPr>
      <w:rFonts w:ascii="Cambria" w:eastAsia="Times New Roman" w:hAnsi="Cambria" w:cs="Times New Roman"/>
      <w:b/>
      <w:bCs/>
      <w:i/>
      <w:iCs/>
      <w:snapToGrid w:val="0"/>
      <w:color w:val="000000"/>
      <w:sz w:val="28"/>
      <w:szCs w:val="28"/>
    </w:rPr>
  </w:style>
  <w:style w:type="paragraph" w:customStyle="1" w:styleId="HTML">
    <w:name w:val="HTML"/>
    <w:aliases w:val=" vooraf opgemaakt,vooraf opgemaakt"/>
    <w:basedOn w:val="Standaard"/>
    <w:rsid w:val="004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napToGrid/>
      <w:color w:val="auto"/>
      <w:sz w:val="20"/>
      <w:lang w:eastAsia="en-US"/>
    </w:rPr>
  </w:style>
  <w:style w:type="paragraph" w:styleId="Koptekst">
    <w:name w:val="header"/>
    <w:basedOn w:val="Standaard"/>
    <w:link w:val="KoptekstChar"/>
    <w:semiHidden/>
    <w:unhideWhenUsed/>
    <w:rsid w:val="00EB5A02"/>
    <w:pPr>
      <w:tabs>
        <w:tab w:val="center" w:pos="4536"/>
        <w:tab w:val="right" w:pos="9072"/>
      </w:tabs>
    </w:pPr>
  </w:style>
  <w:style w:type="character" w:customStyle="1" w:styleId="KoptekstChar">
    <w:name w:val="Koptekst Char"/>
    <w:basedOn w:val="Standaardalinea-lettertype"/>
    <w:link w:val="Koptekst"/>
    <w:uiPriority w:val="99"/>
    <w:semiHidden/>
    <w:rsid w:val="00EB5A02"/>
    <w:rPr>
      <w:rFonts w:ascii="Arial" w:hAnsi="Arial" w:cs="Arial"/>
      <w:snapToGrid w:val="0"/>
      <w:color w:val="000000"/>
      <w:sz w:val="21"/>
    </w:rPr>
  </w:style>
  <w:style w:type="paragraph" w:styleId="Voettekst">
    <w:name w:val="footer"/>
    <w:basedOn w:val="Standaard"/>
    <w:link w:val="VoettekstChar"/>
    <w:uiPriority w:val="99"/>
    <w:semiHidden/>
    <w:unhideWhenUsed/>
    <w:rsid w:val="00EB5A02"/>
    <w:pPr>
      <w:tabs>
        <w:tab w:val="center" w:pos="4536"/>
        <w:tab w:val="right" w:pos="9072"/>
      </w:tabs>
    </w:pPr>
  </w:style>
  <w:style w:type="character" w:customStyle="1" w:styleId="VoettekstChar">
    <w:name w:val="Voettekst Char"/>
    <w:basedOn w:val="Standaardalinea-lettertype"/>
    <w:link w:val="Voettekst"/>
    <w:uiPriority w:val="99"/>
    <w:semiHidden/>
    <w:rsid w:val="00EB5A02"/>
    <w:rPr>
      <w:rFonts w:ascii="Arial" w:hAnsi="Arial" w:cs="Arial"/>
      <w:snapToGrid w:val="0"/>
      <w:color w:val="000000"/>
      <w:sz w:val="21"/>
    </w:rPr>
  </w:style>
  <w:style w:type="character" w:customStyle="1" w:styleId="Kop5Char">
    <w:name w:val="Kop 5 Char"/>
    <w:basedOn w:val="Standaardalinea-lettertype"/>
    <w:link w:val="Kop5"/>
    <w:uiPriority w:val="9"/>
    <w:rsid w:val="00E14309"/>
    <w:rPr>
      <w:rFonts w:asciiTheme="minorHAnsi" w:eastAsiaTheme="minorEastAsia" w:hAnsiTheme="minorHAnsi" w:cstheme="minorBidi"/>
      <w:b/>
      <w:bCs/>
      <w:i/>
      <w:iCs/>
      <w:snapToGrid w:val="0"/>
      <w:color w:val="000000"/>
      <w:sz w:val="26"/>
      <w:szCs w:val="26"/>
    </w:rPr>
  </w:style>
  <w:style w:type="paragraph" w:styleId="Plattetekst">
    <w:name w:val="Body Text"/>
    <w:basedOn w:val="Standaard"/>
    <w:link w:val="PlattetekstChar"/>
    <w:semiHidden/>
    <w:rsid w:val="00C314AB"/>
    <w:pPr>
      <w:pBdr>
        <w:top w:val="single" w:sz="4" w:space="1" w:color="000000"/>
        <w:left w:val="single" w:sz="4" w:space="4" w:color="000000"/>
        <w:bottom w:val="single" w:sz="4" w:space="1" w:color="000000"/>
        <w:right w:val="single" w:sz="4" w:space="4" w:color="000000"/>
      </w:pBdr>
      <w:jc w:val="both"/>
    </w:pPr>
    <w:rPr>
      <w:rFonts w:cs="Times New Roman"/>
      <w:snapToGrid/>
      <w:sz w:val="20"/>
    </w:rPr>
  </w:style>
  <w:style w:type="character" w:customStyle="1" w:styleId="PlattetekstChar">
    <w:name w:val="Platte tekst Char"/>
    <w:basedOn w:val="Standaardalinea-lettertype"/>
    <w:link w:val="Plattetekst"/>
    <w:semiHidden/>
    <w:rsid w:val="00C314AB"/>
    <w:rPr>
      <w:rFonts w:ascii="Arial" w:hAnsi="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20728</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Gemeente Heerhugowaard</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harmi1</dc:creator>
  <cp:lastModifiedBy>BakkM1</cp:lastModifiedBy>
  <cp:revision>2</cp:revision>
  <dcterms:created xsi:type="dcterms:W3CDTF">2016-06-08T06:50:00Z</dcterms:created>
  <dcterms:modified xsi:type="dcterms:W3CDTF">2016-06-08T06:50:00Z</dcterms:modified>
</cp:coreProperties>
</file>